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01C4DDA5" w:rsidR="00E90E49" w:rsidRPr="00F06DCE" w:rsidRDefault="00E90E49" w:rsidP="00E35559">
      <w:pPr>
        <w:pStyle w:val="3GPPHeader"/>
        <w:spacing w:after="60"/>
        <w:rPr>
          <w:sz w:val="32"/>
          <w:szCs w:val="32"/>
        </w:rPr>
      </w:pPr>
      <w:r w:rsidRPr="00F06DCE">
        <w:t>3GPP TSG-RAN WG</w:t>
      </w:r>
      <w:r w:rsidR="00F20F5C" w:rsidRPr="00F06DCE">
        <w:t>2</w:t>
      </w:r>
      <w:r w:rsidRPr="00F06DCE">
        <w:t xml:space="preserve"> #</w:t>
      </w:r>
      <w:r w:rsidR="00F20F5C" w:rsidRPr="00F06DCE">
        <w:t>1</w:t>
      </w:r>
      <w:r w:rsidR="00A311A7">
        <w:t>2</w:t>
      </w:r>
      <w:r w:rsidR="0090290D">
        <w:t>1</w:t>
      </w:r>
      <w:r w:rsidRPr="00F06DCE">
        <w:tab/>
      </w:r>
      <w:r w:rsidR="00060620" w:rsidRPr="001962D5">
        <w:rPr>
          <w:sz w:val="32"/>
          <w:szCs w:val="32"/>
        </w:rPr>
        <w:t>R2-</w:t>
      </w:r>
      <w:r w:rsidR="001962D5" w:rsidRPr="001962D5">
        <w:rPr>
          <w:sz w:val="32"/>
          <w:szCs w:val="32"/>
        </w:rPr>
        <w:t>2301340</w:t>
      </w:r>
    </w:p>
    <w:p w14:paraId="0DEF01D1" w14:textId="74209450" w:rsidR="00E90E49" w:rsidRPr="00CE0424" w:rsidRDefault="0090290D" w:rsidP="00311702">
      <w:pPr>
        <w:pStyle w:val="3GPPHeader"/>
      </w:pPr>
      <w:r>
        <w:t>Athens</w:t>
      </w:r>
      <w:r w:rsidR="00C268E6" w:rsidRPr="00F06DCE">
        <w:t>, 202</w:t>
      </w:r>
      <w:r>
        <w:t>3</w:t>
      </w:r>
      <w:r w:rsidR="00DF66E1" w:rsidRPr="00F06DCE">
        <w:t>-</w:t>
      </w:r>
      <w:r>
        <w:t>02</w:t>
      </w:r>
      <w:r w:rsidR="00DF66E1" w:rsidRPr="00F06DCE">
        <w:t>-</w:t>
      </w:r>
      <w:r>
        <w:t xml:space="preserve">27 </w:t>
      </w:r>
      <w:r w:rsidR="00DF66E1" w:rsidRPr="00F06DCE">
        <w:t>- 202</w:t>
      </w:r>
      <w:r>
        <w:t>3</w:t>
      </w:r>
      <w:r w:rsidR="00DF66E1" w:rsidRPr="00F06DCE">
        <w:t>-</w:t>
      </w:r>
      <w:r>
        <w:t>03</w:t>
      </w:r>
      <w:r w:rsidR="00DF66E1" w:rsidRPr="00F06DCE">
        <w:t>-</w:t>
      </w:r>
      <w:r w:rsidR="00EE67B6">
        <w:t>03</w:t>
      </w:r>
    </w:p>
    <w:p w14:paraId="252563D4" w14:textId="77777777" w:rsidR="00E90E49" w:rsidRPr="00CE0424" w:rsidRDefault="00E90E49" w:rsidP="00357380">
      <w:pPr>
        <w:pStyle w:val="3GPPHeader"/>
      </w:pPr>
    </w:p>
    <w:p w14:paraId="267378A2" w14:textId="5279072D"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7B692C" w:rsidRPr="007B692C">
        <w:rPr>
          <w:sz w:val="22"/>
          <w:szCs w:val="22"/>
        </w:rPr>
        <w:t>8</w:t>
      </w:r>
      <w:r w:rsidR="00A311A7" w:rsidRPr="007B692C">
        <w:rPr>
          <w:sz w:val="22"/>
          <w:szCs w:val="22"/>
        </w:rPr>
        <w:t>.</w:t>
      </w:r>
      <w:r w:rsidR="007B692C" w:rsidRPr="007B692C">
        <w:rPr>
          <w:sz w:val="22"/>
          <w:szCs w:val="22"/>
        </w:rPr>
        <w:t>4</w:t>
      </w:r>
      <w:r w:rsidR="00A311A7" w:rsidRPr="007B692C">
        <w:rPr>
          <w:sz w:val="22"/>
          <w:szCs w:val="22"/>
        </w:rPr>
        <w:t>.</w:t>
      </w:r>
      <w:r w:rsidR="007B692C" w:rsidRPr="007B692C">
        <w:rPr>
          <w:sz w:val="22"/>
          <w:szCs w:val="22"/>
        </w:rPr>
        <w:t>3</w:t>
      </w:r>
      <w:r w:rsidR="000C0B79">
        <w:rPr>
          <w:sz w:val="22"/>
          <w:szCs w:val="22"/>
        </w:rPr>
        <w:t xml:space="preserve"> </w:t>
      </w:r>
      <w:r w:rsidR="000C0B79" w:rsidRPr="000C0B79">
        <w:rPr>
          <w:sz w:val="22"/>
          <w:szCs w:val="22"/>
        </w:rPr>
        <w:t>NR-DC with selective activation cell of groups</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5137EF0A" w:rsidR="00E90E49" w:rsidRPr="00CE0424" w:rsidRDefault="003D3C45" w:rsidP="00311702">
      <w:pPr>
        <w:pStyle w:val="3GPPHeader"/>
        <w:rPr>
          <w:sz w:val="22"/>
          <w:szCs w:val="22"/>
        </w:rPr>
      </w:pPr>
      <w:r>
        <w:rPr>
          <w:sz w:val="22"/>
          <w:szCs w:val="22"/>
        </w:rPr>
        <w:t>Title:</w:t>
      </w:r>
      <w:r w:rsidR="00E90E49" w:rsidRPr="00CE0424">
        <w:rPr>
          <w:sz w:val="22"/>
          <w:szCs w:val="22"/>
        </w:rPr>
        <w:tab/>
      </w:r>
      <w:r w:rsidR="00FD4266" w:rsidRPr="006B6E44">
        <w:rPr>
          <w:sz w:val="22"/>
          <w:szCs w:val="22"/>
        </w:rPr>
        <w:t>NR-DC with selective activation</w:t>
      </w:r>
    </w:p>
    <w:p w14:paraId="1DD4A9BC" w14:textId="2B777AA8" w:rsidR="00E90E49" w:rsidRPr="00CE0424" w:rsidRDefault="00E90E49" w:rsidP="000C0B79">
      <w:pPr>
        <w:pStyle w:val="3GPPHeader"/>
      </w:pPr>
      <w:r w:rsidRPr="00CE0424">
        <w:rPr>
          <w:sz w:val="22"/>
          <w:szCs w:val="22"/>
        </w:rPr>
        <w:t>Document for:</w:t>
      </w:r>
      <w:r w:rsidRPr="00CE0424">
        <w:rPr>
          <w:sz w:val="22"/>
          <w:szCs w:val="22"/>
        </w:rPr>
        <w:tab/>
      </w:r>
      <w:r w:rsidRPr="00B93BF6">
        <w:rPr>
          <w:sz w:val="22"/>
          <w:szCs w:val="22"/>
        </w:rPr>
        <w:t>Discussion, Decision</w:t>
      </w:r>
    </w:p>
    <w:p w14:paraId="028056FC" w14:textId="77777777" w:rsidR="00E90E49" w:rsidRPr="00CE0424" w:rsidRDefault="00230D18" w:rsidP="00CE0424">
      <w:pPr>
        <w:pStyle w:val="Heading1"/>
      </w:pPr>
      <w:r>
        <w:t>1</w:t>
      </w:r>
      <w:r>
        <w:tab/>
      </w:r>
      <w:r w:rsidR="00E90E49" w:rsidRPr="00CE0424">
        <w:t>Introduction</w:t>
      </w:r>
    </w:p>
    <w:p w14:paraId="6BD2DBE4" w14:textId="382DE54B" w:rsidR="00BF569C" w:rsidRDefault="00FD4266" w:rsidP="00CE0424">
      <w:pPr>
        <w:pStyle w:val="BodyText"/>
      </w:pPr>
      <w:r>
        <w:t xml:space="preserve">The </w:t>
      </w:r>
      <w:r w:rsidR="0045106C">
        <w:t>R</w:t>
      </w:r>
      <w:r>
        <w:t xml:space="preserve">el-18 work on further NR mobility enhancements is described in the WID in </w:t>
      </w:r>
      <w:r>
        <w:fldChar w:fldCharType="begin"/>
      </w:r>
      <w:r>
        <w:instrText xml:space="preserve"> REF _Ref107489175 \r \h </w:instrText>
      </w:r>
      <w:r>
        <w:fldChar w:fldCharType="separate"/>
      </w:r>
      <w:r>
        <w:t>[1]</w:t>
      </w:r>
      <w:r>
        <w:fldChar w:fldCharType="end"/>
      </w:r>
      <w:r>
        <w:t xml:space="preserve">. </w:t>
      </w:r>
      <w:r w:rsidR="00A311A7">
        <w:t xml:space="preserve">The WID includes an objective related to enhancements for </w:t>
      </w:r>
      <w:proofErr w:type="spellStart"/>
      <w:r w:rsidR="00A311A7">
        <w:t>PSCell</w:t>
      </w:r>
      <w:proofErr w:type="spellEnd"/>
      <w:r w:rsidR="00A311A7">
        <w:t xml:space="preserve"> mobility in case of NR-DC configurations (objective 2).</w:t>
      </w:r>
    </w:p>
    <w:p w14:paraId="5CB274D8" w14:textId="7C5B565F" w:rsidR="00392BBE" w:rsidRPr="005F1473" w:rsidRDefault="00A311A7" w:rsidP="00CE0424">
      <w:pPr>
        <w:pStyle w:val="BodyText"/>
        <w:rPr>
          <w:bCs/>
          <w:i/>
          <w:iCs/>
        </w:rPr>
      </w:pPr>
      <w:r>
        <w:t xml:space="preserve"> </w:t>
      </w:r>
      <w:r w:rsidR="005F1473">
        <w:t>A</w:t>
      </w:r>
      <w:r w:rsidR="00150866">
        <w:t>t the RAN</w:t>
      </w:r>
      <w:r w:rsidR="00620BAF">
        <w:t>2</w:t>
      </w:r>
      <w:r w:rsidR="00150866">
        <w:t>#119</w:t>
      </w:r>
      <w:r w:rsidR="005F1473">
        <w:t>bis</w:t>
      </w:r>
      <w:r w:rsidR="00150866">
        <w:t xml:space="preserve">-e meeting </w:t>
      </w:r>
      <w:bookmarkStart w:id="0" w:name="_Hlk127188717"/>
      <w:r w:rsidR="00150866">
        <w:t xml:space="preserve">the following agreements </w:t>
      </w:r>
      <w:r w:rsidR="005F1473">
        <w:t xml:space="preserve">were </w:t>
      </w:r>
      <w:r w:rsidR="00150866">
        <w:t>reached</w:t>
      </w:r>
      <w:bookmarkEnd w:id="0"/>
      <w:r w:rsidR="00150866">
        <w:t xml:space="preserve"> for </w:t>
      </w:r>
      <w:r w:rsidR="005F1473">
        <w:t xml:space="preserve">this </w:t>
      </w:r>
      <w:r w:rsidR="00150866">
        <w:t>objective:</w:t>
      </w:r>
    </w:p>
    <w:p w14:paraId="75CE5846" w14:textId="77777777" w:rsidR="005F1473" w:rsidRPr="005F1473" w:rsidRDefault="005F1473" w:rsidP="005F1473">
      <w:pPr>
        <w:pStyle w:val="Agreement"/>
        <w:tabs>
          <w:tab w:val="clear" w:pos="1494"/>
          <w:tab w:val="num" w:pos="927"/>
        </w:tabs>
        <w:ind w:left="927"/>
        <w:rPr>
          <w:lang w:eastAsia="zh-CN"/>
        </w:rPr>
      </w:pPr>
      <w:r w:rsidRPr="005F1473">
        <w:rPr>
          <w:rFonts w:eastAsia="Times New Roman"/>
          <w:lang w:eastAsia="zh-CN"/>
        </w:rPr>
        <w:t>Baseline procedure to support subsequent secondary cell group change (FFS if UE keeps all configurations or if those are indicated by the network, FFS support of nested configs):</w:t>
      </w:r>
    </w:p>
    <w:p w14:paraId="081D70D7" w14:textId="77777777" w:rsidR="005F1473" w:rsidRPr="005F1473" w:rsidRDefault="005F1473" w:rsidP="00051A25">
      <w:pPr>
        <w:pStyle w:val="Agreement"/>
        <w:numPr>
          <w:ilvl w:val="0"/>
          <w:numId w:val="16"/>
        </w:numPr>
        <w:rPr>
          <w:lang w:eastAsia="zh-CN"/>
        </w:rPr>
      </w:pPr>
      <w:r w:rsidRPr="005F1473">
        <w:rPr>
          <w:rFonts w:eastAsia="Times New Roman"/>
          <w:lang w:eastAsia="zh-CN"/>
        </w:rPr>
        <w:t xml:space="preserve">Step 1: when the execution condition of a CPC candidate </w:t>
      </w:r>
      <w:proofErr w:type="spellStart"/>
      <w:r w:rsidRPr="005F1473">
        <w:rPr>
          <w:rFonts w:eastAsia="Times New Roman"/>
          <w:lang w:eastAsia="zh-CN"/>
        </w:rPr>
        <w:t>PScell</w:t>
      </w:r>
      <w:proofErr w:type="spellEnd"/>
      <w:r w:rsidRPr="005F1473">
        <w:rPr>
          <w:rFonts w:eastAsia="Times New Roman"/>
          <w:lang w:eastAsia="zh-CN"/>
        </w:rPr>
        <w:t xml:space="preserve"> is met, a UE performs the execution of CPC towards this candidate </w:t>
      </w:r>
      <w:proofErr w:type="spellStart"/>
      <w:r w:rsidRPr="005F1473">
        <w:rPr>
          <w:rFonts w:eastAsia="Times New Roman"/>
          <w:lang w:eastAsia="zh-CN"/>
        </w:rPr>
        <w:t>PScell</w:t>
      </w:r>
      <w:proofErr w:type="spellEnd"/>
      <w:r w:rsidRPr="005F1473">
        <w:rPr>
          <w:rFonts w:eastAsia="Times New Roman"/>
          <w:lang w:eastAsia="zh-CN"/>
        </w:rPr>
        <w:t xml:space="preserve">. </w:t>
      </w:r>
    </w:p>
    <w:p w14:paraId="6C7EA1DF" w14:textId="77777777" w:rsidR="005F1473" w:rsidRPr="005F1473" w:rsidRDefault="005F1473" w:rsidP="00051A25">
      <w:pPr>
        <w:pStyle w:val="Agreement"/>
        <w:numPr>
          <w:ilvl w:val="0"/>
          <w:numId w:val="16"/>
        </w:numPr>
        <w:rPr>
          <w:lang w:eastAsia="zh-CN"/>
        </w:rPr>
      </w:pPr>
      <w:r w:rsidRPr="005F1473">
        <w:rPr>
          <w:rFonts w:eastAsia="Times New Roman"/>
          <w:lang w:eastAsia="zh-CN"/>
        </w:rPr>
        <w:t xml:space="preserve">Step 2: </w:t>
      </w:r>
      <w:bookmarkStart w:id="1" w:name="_Hlk117769553"/>
      <w:r w:rsidRPr="005F1473">
        <w:rPr>
          <w:rFonts w:eastAsia="Times New Roman"/>
          <w:lang w:eastAsia="zh-CN"/>
        </w:rPr>
        <w:t xml:space="preserve">After finishing the </w:t>
      </w:r>
      <w:proofErr w:type="spellStart"/>
      <w:r w:rsidRPr="005F1473">
        <w:rPr>
          <w:rFonts w:eastAsia="Times New Roman"/>
          <w:lang w:eastAsia="zh-CN"/>
        </w:rPr>
        <w:t>PSCell</w:t>
      </w:r>
      <w:proofErr w:type="spellEnd"/>
      <w:r w:rsidRPr="005F1473">
        <w:rPr>
          <w:rFonts w:eastAsia="Times New Roman"/>
          <w:lang w:eastAsia="zh-CN"/>
        </w:rPr>
        <w:t xml:space="preserve"> addition or change, the UE doesn’t release conditional configuration of other candidate </w:t>
      </w:r>
      <w:proofErr w:type="spellStart"/>
      <w:r w:rsidRPr="005F1473">
        <w:rPr>
          <w:rFonts w:eastAsia="Times New Roman"/>
          <w:lang w:eastAsia="zh-CN"/>
        </w:rPr>
        <w:t>PSCells</w:t>
      </w:r>
      <w:proofErr w:type="spellEnd"/>
      <w:r w:rsidRPr="005F1473">
        <w:rPr>
          <w:rFonts w:eastAsia="Times New Roman"/>
          <w:lang w:eastAsia="zh-CN"/>
        </w:rPr>
        <w:t xml:space="preserve"> </w:t>
      </w:r>
      <w:bookmarkEnd w:id="1"/>
      <w:r w:rsidRPr="005F1473">
        <w:rPr>
          <w:rFonts w:eastAsia="Times New Roman"/>
          <w:lang w:eastAsia="zh-CN"/>
        </w:rPr>
        <w:t xml:space="preserve">for subsequent CPC, the UE continues evaluating the execution conditions of other candidate </w:t>
      </w:r>
      <w:proofErr w:type="spellStart"/>
      <w:r w:rsidRPr="005F1473">
        <w:rPr>
          <w:rFonts w:eastAsia="Times New Roman"/>
          <w:lang w:eastAsia="zh-CN"/>
        </w:rPr>
        <w:t>PScells</w:t>
      </w:r>
      <w:proofErr w:type="spellEnd"/>
      <w:r w:rsidRPr="005F1473">
        <w:rPr>
          <w:rFonts w:eastAsia="Times New Roman"/>
          <w:lang w:eastAsia="zh-CN"/>
        </w:rPr>
        <w:t xml:space="preserve">. </w:t>
      </w:r>
    </w:p>
    <w:p w14:paraId="5114E9F0" w14:textId="77777777" w:rsidR="005F1473" w:rsidRPr="005F1473" w:rsidRDefault="005F1473" w:rsidP="00051A25">
      <w:pPr>
        <w:pStyle w:val="Agreement"/>
        <w:numPr>
          <w:ilvl w:val="0"/>
          <w:numId w:val="16"/>
        </w:numPr>
        <w:rPr>
          <w:lang w:eastAsia="zh-CN"/>
        </w:rPr>
      </w:pPr>
      <w:r w:rsidRPr="005F1473">
        <w:rPr>
          <w:rFonts w:eastAsia="Times New Roman"/>
          <w:lang w:eastAsia="zh-CN"/>
        </w:rPr>
        <w:t xml:space="preserve">Step 3: When the execution condition of a candidate </w:t>
      </w:r>
      <w:proofErr w:type="spellStart"/>
      <w:r w:rsidRPr="005F1473">
        <w:rPr>
          <w:rFonts w:eastAsia="Times New Roman"/>
          <w:lang w:eastAsia="zh-CN"/>
        </w:rPr>
        <w:t>PScell</w:t>
      </w:r>
      <w:proofErr w:type="spellEnd"/>
      <w:r w:rsidRPr="005F1473">
        <w:rPr>
          <w:rFonts w:eastAsia="Times New Roman"/>
          <w:lang w:eastAsia="zh-CN"/>
        </w:rPr>
        <w:t xml:space="preserve"> is met, the UE performs the execution of CPC towards this candidate </w:t>
      </w:r>
      <w:proofErr w:type="spellStart"/>
      <w:r w:rsidRPr="005F1473">
        <w:rPr>
          <w:rFonts w:eastAsia="Times New Roman"/>
          <w:lang w:eastAsia="zh-CN"/>
        </w:rPr>
        <w:t>PSCell</w:t>
      </w:r>
      <w:proofErr w:type="spellEnd"/>
      <w:r w:rsidRPr="005F1473">
        <w:rPr>
          <w:rFonts w:eastAsia="Times New Roman"/>
          <w:lang w:eastAsia="zh-CN"/>
        </w:rPr>
        <w:t>.</w:t>
      </w:r>
    </w:p>
    <w:p w14:paraId="2A5F74D4" w14:textId="77777777" w:rsidR="005F1473" w:rsidRPr="005F1473" w:rsidRDefault="005F1473" w:rsidP="005F1473">
      <w:pPr>
        <w:pStyle w:val="Agreement"/>
        <w:tabs>
          <w:tab w:val="clear" w:pos="1494"/>
          <w:tab w:val="num" w:pos="927"/>
        </w:tabs>
        <w:ind w:left="927"/>
        <w:rPr>
          <w:lang w:eastAsia="zh-CN"/>
        </w:rPr>
      </w:pPr>
      <w:r w:rsidRPr="005F1473">
        <w:rPr>
          <w:rFonts w:eastAsia="Times New Roman"/>
          <w:lang w:eastAsia="zh-CN"/>
        </w:rPr>
        <w:t>Confirm that “CPA” selective activation of cell groups will be supported for this WI objective</w:t>
      </w:r>
    </w:p>
    <w:p w14:paraId="2B11BE49" w14:textId="77777777" w:rsidR="005F1473" w:rsidRPr="005F1473" w:rsidRDefault="005F1473" w:rsidP="005F1473">
      <w:pPr>
        <w:pStyle w:val="Agreement"/>
        <w:tabs>
          <w:tab w:val="clear" w:pos="1494"/>
          <w:tab w:val="num" w:pos="927"/>
        </w:tabs>
        <w:ind w:left="927"/>
        <w:rPr>
          <w:lang w:eastAsia="zh-CN"/>
        </w:rPr>
      </w:pPr>
      <w:r w:rsidRPr="005F1473">
        <w:rPr>
          <w:rFonts w:eastAsia="Times New Roman"/>
          <w:lang w:eastAsia="zh-CN"/>
        </w:rPr>
        <w:t xml:space="preserve">Confirm that we aim to support delta configuration, </w:t>
      </w:r>
      <w:proofErr w:type="gramStart"/>
      <w:r w:rsidRPr="005F1473">
        <w:rPr>
          <w:rFonts w:eastAsia="Times New Roman"/>
          <w:lang w:eastAsia="zh-CN"/>
        </w:rPr>
        <w:t>i.e.</w:t>
      </w:r>
      <w:proofErr w:type="gramEnd"/>
      <w:r w:rsidRPr="005F1473">
        <w:rPr>
          <w:rFonts w:eastAsia="Times New Roman"/>
          <w:lang w:eastAsia="zh-CN"/>
        </w:rPr>
        <w:t xml:space="preserve"> that there need to be a known reference.  </w:t>
      </w:r>
    </w:p>
    <w:p w14:paraId="62BDC51E" w14:textId="77777777" w:rsidR="005F1473" w:rsidRPr="005F1473" w:rsidRDefault="005F1473" w:rsidP="005F1473">
      <w:pPr>
        <w:pStyle w:val="Agreement"/>
        <w:tabs>
          <w:tab w:val="clear" w:pos="1494"/>
          <w:tab w:val="num" w:pos="927"/>
        </w:tabs>
        <w:ind w:left="927"/>
        <w:rPr>
          <w:lang w:eastAsia="zh-CN"/>
        </w:rPr>
      </w:pPr>
      <w:r w:rsidRPr="005F1473">
        <w:rPr>
          <w:rFonts w:eastAsia="Times New Roman"/>
          <w:lang w:eastAsia="zh-CN"/>
        </w:rPr>
        <w:t xml:space="preserve">RAN2 aim to support selective activation of cell groups without RRC reconfiguration with respect to security (FFS, need to consult with SA3 at some point in time). </w:t>
      </w:r>
    </w:p>
    <w:p w14:paraId="66A7BD6A" w14:textId="77777777" w:rsidR="00F64376" w:rsidRDefault="00F64376" w:rsidP="00F64376">
      <w:pPr>
        <w:pStyle w:val="BodyText"/>
      </w:pPr>
    </w:p>
    <w:p w14:paraId="12485F77" w14:textId="354F7BF6" w:rsidR="00403246" w:rsidRDefault="006C4628" w:rsidP="00CE0424">
      <w:pPr>
        <w:pStyle w:val="BodyText"/>
      </w:pPr>
      <w:r>
        <w:t>T</w:t>
      </w:r>
      <w:r w:rsidRPr="006C4628">
        <w:t xml:space="preserve">he following agreements were reached </w:t>
      </w:r>
      <w:r>
        <w:t xml:space="preserve">at the </w:t>
      </w:r>
      <w:r w:rsidR="00403246">
        <w:t>RAN2#120 meeting</w:t>
      </w:r>
      <w:r w:rsidR="00392BBE">
        <w:t>:</w:t>
      </w:r>
    </w:p>
    <w:p w14:paraId="3353FE77" w14:textId="77777777" w:rsidR="00392BBE" w:rsidRDefault="00392BBE" w:rsidP="00AD4EDD">
      <w:pPr>
        <w:pStyle w:val="Agreement"/>
        <w:tabs>
          <w:tab w:val="clear" w:pos="1494"/>
        </w:tabs>
        <w:ind w:left="993" w:hanging="426"/>
      </w:pPr>
      <w:r>
        <w:t>A UE stores the reference configuration as a separate configuration.</w:t>
      </w:r>
    </w:p>
    <w:p w14:paraId="3855F419" w14:textId="77777777" w:rsidR="00392BBE" w:rsidRDefault="00392BBE" w:rsidP="00AD4EDD">
      <w:pPr>
        <w:pStyle w:val="Agreement"/>
        <w:tabs>
          <w:tab w:val="clear" w:pos="1494"/>
        </w:tabs>
        <w:ind w:left="993" w:hanging="426"/>
      </w:pPr>
      <w:r>
        <w:t xml:space="preserve">The reference configuration is managed separately </w:t>
      </w:r>
    </w:p>
    <w:p w14:paraId="4FF2AD73" w14:textId="77777777" w:rsidR="00392BBE" w:rsidRDefault="00392BBE" w:rsidP="00CE0424">
      <w:pPr>
        <w:pStyle w:val="BodyText"/>
      </w:pPr>
    </w:p>
    <w:p w14:paraId="5621207E" w14:textId="6EF313BB" w:rsidR="00F64376" w:rsidRDefault="00F64376" w:rsidP="00CE0424">
      <w:pPr>
        <w:pStyle w:val="BodyText"/>
      </w:pPr>
      <w:r>
        <w:t xml:space="preserve">In this contribution we discuss different aspects and open issues for objective 2 in the WID on </w:t>
      </w:r>
      <w:r w:rsidR="0045106C">
        <w:t>R</w:t>
      </w:r>
      <w:r>
        <w:t xml:space="preserve">el-18 work on further NR mobility enhancements (in </w:t>
      </w:r>
      <w:r>
        <w:fldChar w:fldCharType="begin"/>
      </w:r>
      <w:r>
        <w:instrText xml:space="preserve"> REF _Ref107489175 \r \h </w:instrText>
      </w:r>
      <w:r>
        <w:fldChar w:fldCharType="separate"/>
      </w:r>
      <w:r>
        <w:t>[1]</w:t>
      </w:r>
      <w:r>
        <w:fldChar w:fldCharType="end"/>
      </w:r>
      <w:r>
        <w:t>).</w:t>
      </w:r>
    </w:p>
    <w:p w14:paraId="4BB0ADAB" w14:textId="77777777" w:rsidR="00F64376" w:rsidRDefault="00F64376" w:rsidP="00CE0424">
      <w:pPr>
        <w:pStyle w:val="BodyText"/>
      </w:pPr>
    </w:p>
    <w:p w14:paraId="59E13DC4" w14:textId="3DC56BBD" w:rsidR="004000E8" w:rsidRDefault="00230D18" w:rsidP="00CE0424">
      <w:pPr>
        <w:pStyle w:val="Heading1"/>
      </w:pPr>
      <w:bookmarkStart w:id="2" w:name="_Ref178064866"/>
      <w:r>
        <w:t>2</w:t>
      </w:r>
      <w:r>
        <w:tab/>
      </w:r>
      <w:r w:rsidR="004000E8" w:rsidRPr="00CE0424">
        <w:t>Discussion</w:t>
      </w:r>
      <w:bookmarkEnd w:id="2"/>
    </w:p>
    <w:p w14:paraId="4A28246B" w14:textId="4B0F83D4" w:rsidR="00FE122E" w:rsidRDefault="00FE122E" w:rsidP="00FE122E">
      <w:pPr>
        <w:pStyle w:val="Heading2"/>
      </w:pPr>
      <w:r w:rsidRPr="00530895">
        <w:t>2.</w:t>
      </w:r>
      <w:r w:rsidR="005411B7" w:rsidRPr="00530895">
        <w:t>1</w:t>
      </w:r>
      <w:r w:rsidRPr="00530895">
        <w:tab/>
        <w:t>Keeping CPC configurations at cell changes</w:t>
      </w:r>
    </w:p>
    <w:p w14:paraId="7D6E89EF" w14:textId="09801657" w:rsidR="00796FFD" w:rsidRDefault="0012147A" w:rsidP="00B93BF6">
      <w:r>
        <w:t xml:space="preserve">A baseline procedure for how to support subsequent SCG changes, after execution of a </w:t>
      </w:r>
      <w:proofErr w:type="spellStart"/>
      <w:r>
        <w:t>PSCell</w:t>
      </w:r>
      <w:proofErr w:type="spellEnd"/>
      <w:r>
        <w:t xml:space="preserve"> addition or change procedure, was agreed at the RAN2#119bis-e meeting. It consists of that the UE does not </w:t>
      </w:r>
      <w:r w:rsidRPr="0012147A">
        <w:t xml:space="preserve">release conditional </w:t>
      </w:r>
      <w:r w:rsidRPr="0012147A">
        <w:lastRenderedPageBreak/>
        <w:t>configuration</w:t>
      </w:r>
      <w:r>
        <w:t>s</w:t>
      </w:r>
      <w:r w:rsidRPr="0012147A">
        <w:t xml:space="preserve"> </w:t>
      </w:r>
      <w:r>
        <w:t xml:space="preserve">for </w:t>
      </w:r>
      <w:r w:rsidRPr="0012147A">
        <w:t xml:space="preserve">other candidate </w:t>
      </w:r>
      <w:proofErr w:type="spellStart"/>
      <w:r w:rsidRPr="0012147A">
        <w:t>PSCells</w:t>
      </w:r>
      <w:proofErr w:type="spellEnd"/>
      <w:r w:rsidRPr="0012147A">
        <w:t xml:space="preserve"> </w:t>
      </w:r>
      <w:r>
        <w:t>(</w:t>
      </w:r>
      <w:r w:rsidRPr="0012147A">
        <w:t>for subsequent CPC</w:t>
      </w:r>
      <w:r>
        <w:t xml:space="preserve">). </w:t>
      </w:r>
      <w:r w:rsidR="00CA7754">
        <w:t xml:space="preserve">Whether the UE should always keep all those configurations or whether it should be possible for the network to indicate what configurations to keep or </w:t>
      </w:r>
      <w:r w:rsidR="009C28E1">
        <w:t xml:space="preserve">to </w:t>
      </w:r>
      <w:r w:rsidR="00CA7754">
        <w:t>release was however left as FFS “</w:t>
      </w:r>
      <w:r w:rsidR="00CA7754" w:rsidRPr="00CA7754">
        <w:rPr>
          <w:i/>
          <w:iCs/>
          <w:lang w:eastAsia="zh-CN"/>
        </w:rPr>
        <w:t>FFS if UE keeps all configurations or if those are indicated by the network</w:t>
      </w:r>
      <w:r w:rsidR="00CA7754">
        <w:t>”.</w:t>
      </w:r>
    </w:p>
    <w:p w14:paraId="7D1DA02C" w14:textId="54D6A7F6" w:rsidR="009E7EEB" w:rsidRDefault="001A715B" w:rsidP="00B93BF6">
      <w:r w:rsidRPr="001A715B">
        <w:t xml:space="preserve">In </w:t>
      </w:r>
      <w:r w:rsidR="0045106C">
        <w:t>R</w:t>
      </w:r>
      <w:r w:rsidRPr="001A715B">
        <w:t xml:space="preserve">el-17, the conditional configurations (CHO, </w:t>
      </w:r>
      <w:proofErr w:type="gramStart"/>
      <w:r w:rsidRPr="001A715B">
        <w:t>CPC</w:t>
      </w:r>
      <w:proofErr w:type="gramEnd"/>
      <w:r w:rsidRPr="001A715B">
        <w:t xml:space="preserve"> and CPA) are released at execution of another conditional configuration (or legacy cell change procedure). By introducing the possibility to keep </w:t>
      </w:r>
      <w:r>
        <w:t xml:space="preserve">CPC </w:t>
      </w:r>
      <w:r w:rsidRPr="001A715B">
        <w:t xml:space="preserve">configurations in </w:t>
      </w:r>
      <w:r w:rsidR="00EC0835">
        <w:t>R</w:t>
      </w:r>
      <w:r w:rsidRPr="001A715B">
        <w:t xml:space="preserve">el-18, it needs to be clear between the UE and the network how </w:t>
      </w:r>
      <w:r w:rsidR="00EC0835">
        <w:t xml:space="preserve">the different </w:t>
      </w:r>
      <w:r w:rsidRPr="001A715B">
        <w:t xml:space="preserve">stored </w:t>
      </w:r>
      <w:r w:rsidR="001345C8">
        <w:t xml:space="preserve">CPC </w:t>
      </w:r>
      <w:r w:rsidRPr="001A715B">
        <w:t xml:space="preserve">configurations are to be handled at cell group changes, </w:t>
      </w:r>
      <w:proofErr w:type="gramStart"/>
      <w:r w:rsidRPr="001A715B">
        <w:t>i.e.</w:t>
      </w:r>
      <w:proofErr w:type="gramEnd"/>
      <w:r w:rsidRPr="001A715B">
        <w:t xml:space="preserve"> if they are to be </w:t>
      </w:r>
      <w:r w:rsidRPr="00E82B07">
        <w:t xml:space="preserve">stored or released. </w:t>
      </w:r>
      <w:r w:rsidR="00546C60">
        <w:t xml:space="preserve">The network should therefore indicate to the UE whether to keep or release other stored CPC configurations as it performs a cell group change. </w:t>
      </w:r>
      <w:r w:rsidRPr="00E82B07">
        <w:t>It should also be considered that</w:t>
      </w:r>
      <w:r w:rsidR="00813E75">
        <w:t>,</w:t>
      </w:r>
      <w:r w:rsidRPr="00E82B07">
        <w:t xml:space="preserve"> as the UE is moving </w:t>
      </w:r>
      <w:r w:rsidR="009E7EEB">
        <w:t>between the c</w:t>
      </w:r>
      <w:r w:rsidR="009E7EEB" w:rsidRPr="00E82B07">
        <w:t>ells</w:t>
      </w:r>
      <w:r w:rsidRPr="00E82B07">
        <w:t xml:space="preserve">, </w:t>
      </w:r>
      <w:r w:rsidR="009E7EEB">
        <w:t>some of the configured candidate target cells (</w:t>
      </w:r>
      <w:proofErr w:type="gramStart"/>
      <w:r w:rsidR="00546C60">
        <w:t>i.e.</w:t>
      </w:r>
      <w:proofErr w:type="gramEnd"/>
      <w:r w:rsidR="00546C60">
        <w:t xml:space="preserve"> </w:t>
      </w:r>
      <w:r w:rsidR="009E7EEB">
        <w:t xml:space="preserve">CPC configurations) may not be relevant in the </w:t>
      </w:r>
      <w:r w:rsidR="00947C9C">
        <w:t xml:space="preserve">new </w:t>
      </w:r>
      <w:r w:rsidR="009E7EEB">
        <w:t xml:space="preserve">cell. It should therefore </w:t>
      </w:r>
      <w:r w:rsidR="00546C60">
        <w:t xml:space="preserve">also </w:t>
      </w:r>
      <w:r w:rsidR="009E7EEB">
        <w:t>be possible to indicate to the UE that some CPC configurations are not applicable while in the current cell, so that the UE is not required to perform measurements and evaluation for those CPC configurations.</w:t>
      </w:r>
    </w:p>
    <w:p w14:paraId="5CC849DC" w14:textId="6367A8D0" w:rsidR="00227BC8" w:rsidRPr="00CE0424" w:rsidRDefault="005411B7" w:rsidP="00227BC8">
      <w:pPr>
        <w:pStyle w:val="Observation"/>
      </w:pPr>
      <w:bookmarkStart w:id="3" w:name="_Toc127477251"/>
      <w:r>
        <w:t xml:space="preserve">There is sometimes a need to update the CPC configurations for a UE, </w:t>
      </w:r>
      <w:proofErr w:type="gramStart"/>
      <w:r>
        <w:t>e.g.</w:t>
      </w:r>
      <w:proofErr w:type="gramEnd"/>
      <w:r>
        <w:t xml:space="preserve"> if the UE is moving into a different area</w:t>
      </w:r>
      <w:r w:rsidR="00227BC8">
        <w:t>.</w:t>
      </w:r>
      <w:bookmarkEnd w:id="3"/>
    </w:p>
    <w:p w14:paraId="0F11F815" w14:textId="79BCE74A" w:rsidR="00227BC8" w:rsidRDefault="005411B7" w:rsidP="00227BC8">
      <w:pPr>
        <w:pStyle w:val="Proposal"/>
      </w:pPr>
      <w:bookmarkStart w:id="4" w:name="_Toc127477258"/>
      <w:r>
        <w:t xml:space="preserve">It should be possible for the network to indicate to the UE whether to keep or release </w:t>
      </w:r>
      <w:r w:rsidR="00ED6CD4">
        <w:t xml:space="preserve">stored </w:t>
      </w:r>
      <w:r>
        <w:t>CPC configuration</w:t>
      </w:r>
      <w:r w:rsidR="00ED6CD4">
        <w:t>s</w:t>
      </w:r>
      <w:r>
        <w:t xml:space="preserve"> </w:t>
      </w:r>
      <w:r w:rsidR="00B525B6">
        <w:t>when</w:t>
      </w:r>
      <w:r>
        <w:t xml:space="preserve"> performing a cell group change</w:t>
      </w:r>
      <w:r w:rsidR="00227BC8">
        <w:t>.</w:t>
      </w:r>
      <w:bookmarkEnd w:id="4"/>
    </w:p>
    <w:p w14:paraId="5F01EE01" w14:textId="1B1ED951" w:rsidR="00665408" w:rsidRDefault="00665408" w:rsidP="00227BC8">
      <w:pPr>
        <w:pStyle w:val="Proposal"/>
      </w:pPr>
      <w:bookmarkStart w:id="5" w:name="_Toc127477259"/>
      <w:r>
        <w:t>It should be possible for the network to indicate to the UE whether a conditional configuration, that is kept after a cell group change, should be considered as applicable or not. A conditional configuration that is considered as not applicable should not be evaluated by the UE, or at least not be executed in case the conditions are fulfilled.</w:t>
      </w:r>
      <w:bookmarkEnd w:id="5"/>
    </w:p>
    <w:p w14:paraId="251BEAAB" w14:textId="77777777" w:rsidR="00227BC8" w:rsidRDefault="00227BC8" w:rsidP="00B93BF6"/>
    <w:p w14:paraId="4011B059" w14:textId="4813B26F" w:rsidR="001A715B" w:rsidRPr="00B7418F" w:rsidRDefault="00665408" w:rsidP="00B93BF6">
      <w:r>
        <w:t xml:space="preserve">Regarding the network indication about what CPC/CPA configurations </w:t>
      </w:r>
      <w:r w:rsidR="006C7FEF">
        <w:t>to keep/release and to consider applicable, t</w:t>
      </w:r>
      <w:r w:rsidR="00B7418F">
        <w:t xml:space="preserve">he following </w:t>
      </w:r>
      <w:r w:rsidR="001A715B" w:rsidRPr="00B7418F">
        <w:t>alternatives</w:t>
      </w:r>
      <w:r w:rsidR="00B7418F" w:rsidRPr="00B7418F">
        <w:t xml:space="preserve"> can be identified:</w:t>
      </w:r>
    </w:p>
    <w:p w14:paraId="0FA20982" w14:textId="4C417E3A" w:rsidR="00B7418F" w:rsidRPr="007E646E" w:rsidRDefault="00B7418F" w:rsidP="00051A25">
      <w:pPr>
        <w:pStyle w:val="ListParagraph"/>
        <w:numPr>
          <w:ilvl w:val="0"/>
          <w:numId w:val="14"/>
        </w:numPr>
        <w:rPr>
          <w:rFonts w:ascii="Times New Roman" w:hAnsi="Times New Roman"/>
          <w:sz w:val="20"/>
          <w:szCs w:val="20"/>
        </w:rPr>
      </w:pPr>
      <w:r w:rsidRPr="007E646E">
        <w:rPr>
          <w:rFonts w:ascii="Times New Roman" w:hAnsi="Times New Roman"/>
          <w:sz w:val="20"/>
          <w:szCs w:val="20"/>
        </w:rPr>
        <w:t xml:space="preserve">The </w:t>
      </w:r>
      <w:r w:rsidR="003F7595" w:rsidRPr="007E646E">
        <w:rPr>
          <w:rFonts w:ascii="Times New Roman" w:hAnsi="Times New Roman"/>
          <w:sz w:val="20"/>
          <w:szCs w:val="20"/>
          <w:lang w:val="en-US"/>
        </w:rPr>
        <w:t xml:space="preserve">network indicates to the UE after the </w:t>
      </w:r>
      <w:r w:rsidR="007E646E">
        <w:rPr>
          <w:rFonts w:ascii="Times New Roman" w:hAnsi="Times New Roman"/>
          <w:sz w:val="20"/>
          <w:szCs w:val="20"/>
          <w:lang w:val="en-US"/>
        </w:rPr>
        <w:t xml:space="preserve">successful </w:t>
      </w:r>
      <w:r w:rsidR="003F7595" w:rsidRPr="007E646E">
        <w:rPr>
          <w:rFonts w:ascii="Times New Roman" w:hAnsi="Times New Roman"/>
          <w:sz w:val="20"/>
          <w:szCs w:val="20"/>
          <w:lang w:val="en-US"/>
        </w:rPr>
        <w:t xml:space="preserve">cell group change procedure which </w:t>
      </w:r>
      <w:r w:rsidR="007E646E">
        <w:rPr>
          <w:rFonts w:ascii="Times New Roman" w:hAnsi="Times New Roman"/>
          <w:sz w:val="20"/>
          <w:szCs w:val="20"/>
          <w:lang w:val="en-US"/>
        </w:rPr>
        <w:t xml:space="preserve">of the </w:t>
      </w:r>
      <w:r w:rsidR="003F7595" w:rsidRPr="007E646E">
        <w:rPr>
          <w:rFonts w:ascii="Times New Roman" w:hAnsi="Times New Roman"/>
          <w:sz w:val="20"/>
          <w:szCs w:val="20"/>
          <w:lang w:val="en-US"/>
        </w:rPr>
        <w:t xml:space="preserve">CPC configurations to </w:t>
      </w:r>
      <w:r w:rsidR="006C7FEF">
        <w:rPr>
          <w:rFonts w:ascii="Times New Roman" w:hAnsi="Times New Roman"/>
          <w:sz w:val="20"/>
          <w:szCs w:val="20"/>
          <w:lang w:val="en-US"/>
        </w:rPr>
        <w:t xml:space="preserve">release </w:t>
      </w:r>
      <w:r w:rsidR="003F7595" w:rsidRPr="007E646E">
        <w:rPr>
          <w:rFonts w:ascii="Times New Roman" w:hAnsi="Times New Roman"/>
          <w:sz w:val="20"/>
          <w:szCs w:val="20"/>
          <w:lang w:val="en-US"/>
        </w:rPr>
        <w:t xml:space="preserve">and which to </w:t>
      </w:r>
      <w:r w:rsidR="006C7FEF">
        <w:rPr>
          <w:rFonts w:ascii="Times New Roman" w:hAnsi="Times New Roman"/>
          <w:sz w:val="20"/>
          <w:szCs w:val="20"/>
          <w:lang w:val="en-US"/>
        </w:rPr>
        <w:t>keep (and which of those to consider as applicable)</w:t>
      </w:r>
      <w:r w:rsidR="003F7595" w:rsidRPr="007E646E">
        <w:rPr>
          <w:rFonts w:ascii="Times New Roman" w:hAnsi="Times New Roman"/>
          <w:sz w:val="20"/>
          <w:szCs w:val="20"/>
          <w:lang w:val="en-US"/>
        </w:rPr>
        <w:t>.</w:t>
      </w:r>
    </w:p>
    <w:p w14:paraId="35F35D0F" w14:textId="603B88F4" w:rsidR="003F7595" w:rsidRPr="007E646E" w:rsidRDefault="003F7595" w:rsidP="00051A25">
      <w:pPr>
        <w:pStyle w:val="ListParagraph"/>
        <w:numPr>
          <w:ilvl w:val="0"/>
          <w:numId w:val="14"/>
        </w:numPr>
        <w:rPr>
          <w:rFonts w:ascii="Times New Roman" w:hAnsi="Times New Roman"/>
          <w:sz w:val="20"/>
          <w:szCs w:val="20"/>
        </w:rPr>
      </w:pPr>
      <w:r w:rsidRPr="007E646E">
        <w:rPr>
          <w:rFonts w:ascii="Times New Roman" w:hAnsi="Times New Roman"/>
          <w:sz w:val="20"/>
          <w:szCs w:val="20"/>
          <w:lang w:val="en-US"/>
        </w:rPr>
        <w:t xml:space="preserve">The </w:t>
      </w:r>
      <w:r w:rsidR="007E646E" w:rsidRPr="007E646E">
        <w:rPr>
          <w:rFonts w:ascii="Times New Roman" w:hAnsi="Times New Roman"/>
          <w:sz w:val="20"/>
          <w:szCs w:val="20"/>
          <w:lang w:val="en-US"/>
        </w:rPr>
        <w:t>UE is, before the cell group change, provided with a</w:t>
      </w:r>
      <w:r w:rsidR="00841DB4">
        <w:rPr>
          <w:rFonts w:ascii="Times New Roman" w:hAnsi="Times New Roman"/>
          <w:sz w:val="20"/>
          <w:szCs w:val="20"/>
          <w:lang w:val="en-US"/>
        </w:rPr>
        <w:t>n</w:t>
      </w:r>
      <w:r w:rsidR="007E646E" w:rsidRPr="007E646E">
        <w:rPr>
          <w:rFonts w:ascii="Times New Roman" w:hAnsi="Times New Roman"/>
          <w:sz w:val="20"/>
          <w:szCs w:val="20"/>
          <w:lang w:val="en-US"/>
        </w:rPr>
        <w:t xml:space="preserve"> </w:t>
      </w:r>
      <w:r w:rsidR="00841DB4">
        <w:rPr>
          <w:rFonts w:ascii="Times New Roman" w:hAnsi="Times New Roman"/>
          <w:sz w:val="20"/>
          <w:szCs w:val="20"/>
          <w:lang w:val="en-US"/>
        </w:rPr>
        <w:t>indication</w:t>
      </w:r>
      <w:r w:rsidR="007E646E" w:rsidRPr="007E646E">
        <w:rPr>
          <w:rFonts w:ascii="Times New Roman" w:hAnsi="Times New Roman"/>
          <w:sz w:val="20"/>
          <w:szCs w:val="20"/>
          <w:lang w:val="en-US"/>
        </w:rPr>
        <w:t xml:space="preserve"> about which CPC configurations to keep</w:t>
      </w:r>
      <w:r w:rsidR="006C7FEF">
        <w:rPr>
          <w:rFonts w:ascii="Times New Roman" w:hAnsi="Times New Roman"/>
          <w:sz w:val="20"/>
          <w:szCs w:val="20"/>
          <w:lang w:val="en-US"/>
        </w:rPr>
        <w:t xml:space="preserve"> (and which of those to consider as applicable)</w:t>
      </w:r>
      <w:r w:rsidR="007E646E" w:rsidRPr="007E646E">
        <w:rPr>
          <w:rFonts w:ascii="Times New Roman" w:hAnsi="Times New Roman"/>
          <w:sz w:val="20"/>
          <w:szCs w:val="20"/>
          <w:lang w:val="en-US"/>
        </w:rPr>
        <w:t>.</w:t>
      </w:r>
      <w:r w:rsidR="007E646E">
        <w:rPr>
          <w:rFonts w:ascii="Times New Roman" w:hAnsi="Times New Roman"/>
          <w:sz w:val="20"/>
          <w:szCs w:val="20"/>
          <w:lang w:val="en-US"/>
        </w:rPr>
        <w:t xml:space="preserve"> Such indication could </w:t>
      </w:r>
      <w:proofErr w:type="gramStart"/>
      <w:r w:rsidR="007E646E">
        <w:rPr>
          <w:rFonts w:ascii="Times New Roman" w:hAnsi="Times New Roman"/>
          <w:sz w:val="20"/>
          <w:szCs w:val="20"/>
          <w:lang w:val="en-US"/>
        </w:rPr>
        <w:t>e.g.</w:t>
      </w:r>
      <w:proofErr w:type="gramEnd"/>
      <w:r w:rsidR="007E646E">
        <w:rPr>
          <w:rFonts w:ascii="Times New Roman" w:hAnsi="Times New Roman"/>
          <w:sz w:val="20"/>
          <w:szCs w:val="20"/>
          <w:lang w:val="en-US"/>
        </w:rPr>
        <w:t xml:space="preserve"> be included as part of the configuration that triggered the cell group change procedure.</w:t>
      </w:r>
    </w:p>
    <w:p w14:paraId="152F024A" w14:textId="36932721" w:rsidR="00B7418F" w:rsidRDefault="00B7418F" w:rsidP="00B93BF6"/>
    <w:p w14:paraId="4650FAF3" w14:textId="12EDFB84" w:rsidR="003F7595" w:rsidRDefault="003F7595" w:rsidP="00B93BF6">
      <w:r>
        <w:t xml:space="preserve">The alternative to let the network (the target node) indicate to the UE </w:t>
      </w:r>
      <w:r w:rsidRPr="007E646E">
        <w:rPr>
          <w:lang w:val="en-US"/>
        </w:rPr>
        <w:t xml:space="preserve">after the cell group change procedure which CPC configurations to </w:t>
      </w:r>
      <w:r w:rsidR="00546C60">
        <w:rPr>
          <w:lang w:val="en-US"/>
        </w:rPr>
        <w:t xml:space="preserve">release and which to </w:t>
      </w:r>
      <w:r w:rsidRPr="007E646E">
        <w:rPr>
          <w:lang w:val="en-US"/>
        </w:rPr>
        <w:t xml:space="preserve">keep </w:t>
      </w:r>
      <w:r w:rsidR="00546C60">
        <w:rPr>
          <w:lang w:val="en-US"/>
        </w:rPr>
        <w:t>(</w:t>
      </w:r>
      <w:r w:rsidRPr="007E646E">
        <w:rPr>
          <w:lang w:val="en-US"/>
        </w:rPr>
        <w:t xml:space="preserve">and which </w:t>
      </w:r>
      <w:r w:rsidR="00546C60">
        <w:rPr>
          <w:lang w:val="en-US"/>
        </w:rPr>
        <w:t xml:space="preserve">of those to consider applicable) </w:t>
      </w:r>
      <w:r w:rsidR="007E646E">
        <w:rPr>
          <w:lang w:val="en-US"/>
        </w:rPr>
        <w:t>would mean that there is a need for signaling after each cell group change. This signaling can probably be kept small compared to retransmitting the whole CPC configurations, but it would</w:t>
      </w:r>
      <w:r w:rsidR="005411B7">
        <w:rPr>
          <w:lang w:val="en-US"/>
        </w:rPr>
        <w:t xml:space="preserve"> </w:t>
      </w:r>
      <w:r w:rsidR="007E646E">
        <w:rPr>
          <w:lang w:val="en-US"/>
        </w:rPr>
        <w:t xml:space="preserve">still not be possible to perform </w:t>
      </w:r>
      <w:r w:rsidR="005411B7">
        <w:rPr>
          <w:lang w:val="en-US"/>
        </w:rPr>
        <w:t xml:space="preserve">a </w:t>
      </w:r>
      <w:r w:rsidR="007E646E">
        <w:rPr>
          <w:lang w:val="en-US"/>
        </w:rPr>
        <w:t xml:space="preserve">subsequent </w:t>
      </w:r>
      <w:proofErr w:type="spellStart"/>
      <w:r w:rsidR="007E646E">
        <w:rPr>
          <w:lang w:val="en-US"/>
        </w:rPr>
        <w:t>PSCell</w:t>
      </w:r>
      <w:proofErr w:type="spellEnd"/>
      <w:r w:rsidR="007E646E">
        <w:rPr>
          <w:lang w:val="en-US"/>
        </w:rPr>
        <w:t xml:space="preserve"> change without any reconfiguration.</w:t>
      </w:r>
    </w:p>
    <w:p w14:paraId="4B6D7DE7" w14:textId="1B27F6D3" w:rsidR="001A715B" w:rsidRDefault="00546C60" w:rsidP="00B93BF6">
      <w:pPr>
        <w:rPr>
          <w:highlight w:val="yellow"/>
        </w:rPr>
      </w:pPr>
      <w:r>
        <w:t>By indicating t</w:t>
      </w:r>
      <w:r w:rsidR="003F7595">
        <w:t xml:space="preserve">o </w:t>
      </w:r>
      <w:r w:rsidR="001A715B" w:rsidRPr="001A715B">
        <w:t xml:space="preserve">the UE whether to release </w:t>
      </w:r>
      <w:r>
        <w:t xml:space="preserve">or keep </w:t>
      </w:r>
      <w:r w:rsidR="001A715B" w:rsidRPr="001A715B">
        <w:t xml:space="preserve">a CPC configuration </w:t>
      </w:r>
      <w:r w:rsidR="00E76FA5">
        <w:t xml:space="preserve">(and whether to consider it as applicable) prior to the cell change procedure avoids the need for </w:t>
      </w:r>
      <w:r w:rsidR="001A715B" w:rsidRPr="001A715B">
        <w:t>signalling after each cell change procedure</w:t>
      </w:r>
      <w:r w:rsidR="005411B7">
        <w:t xml:space="preserve"> and</w:t>
      </w:r>
      <w:r w:rsidR="003F7595">
        <w:t xml:space="preserve"> thus </w:t>
      </w:r>
      <w:r w:rsidR="001A715B" w:rsidRPr="001A715B">
        <w:t xml:space="preserve">enables subsequent conditional </w:t>
      </w:r>
      <w:proofErr w:type="spellStart"/>
      <w:r w:rsidR="001A715B" w:rsidRPr="001A715B">
        <w:t>PSCell</w:t>
      </w:r>
      <w:proofErr w:type="spellEnd"/>
      <w:r w:rsidR="001A715B" w:rsidRPr="001A715B">
        <w:t xml:space="preserve"> changes without any reconfiguration. We therefore have a slight preference for this alternative, </w:t>
      </w:r>
      <w:proofErr w:type="gramStart"/>
      <w:r w:rsidR="001A715B" w:rsidRPr="001A715B">
        <w:t>i.e.</w:t>
      </w:r>
      <w:proofErr w:type="gramEnd"/>
      <w:r w:rsidR="001A715B" w:rsidRPr="001A715B">
        <w:t xml:space="preserve"> that the UE should keep/make use of a stored CPC configuration based on</w:t>
      </w:r>
      <w:r w:rsidR="0018506D">
        <w:t xml:space="preserve"> in</w:t>
      </w:r>
      <w:r w:rsidR="004D18AC">
        <w:t>formation</w:t>
      </w:r>
      <w:r w:rsidR="00E97591">
        <w:t xml:space="preserve"> </w:t>
      </w:r>
      <w:r w:rsidR="003F7595">
        <w:t xml:space="preserve">received before </w:t>
      </w:r>
      <w:r w:rsidR="00F83A2C">
        <w:t xml:space="preserve">the </w:t>
      </w:r>
      <w:r w:rsidR="003F7595">
        <w:t>execution of the cell group change.</w:t>
      </w:r>
      <w:r w:rsidR="00A66B54">
        <w:t xml:space="preserve"> </w:t>
      </w:r>
      <w:r w:rsidR="005E348E">
        <w:t>Considering that the SN is typically in control of the SCG/</w:t>
      </w:r>
      <w:proofErr w:type="spellStart"/>
      <w:r w:rsidR="005E348E">
        <w:t>PSCell</w:t>
      </w:r>
      <w:proofErr w:type="spellEnd"/>
      <w:r w:rsidR="005E348E">
        <w:t xml:space="preserve"> mobility </w:t>
      </w:r>
      <w:r w:rsidR="003F7595">
        <w:t xml:space="preserve">it should be the target </w:t>
      </w:r>
      <w:r w:rsidR="00C41D81">
        <w:t xml:space="preserve">SN </w:t>
      </w:r>
      <w:r w:rsidR="003F7595">
        <w:t>node that decides what CPC configurations that the UE should have after the cell group change</w:t>
      </w:r>
      <w:r w:rsidR="005E348E">
        <w:t>.</w:t>
      </w:r>
      <w:r w:rsidR="003F7595">
        <w:t xml:space="preserve"> </w:t>
      </w:r>
      <w:r w:rsidR="005E348E">
        <w:t xml:space="preserve">The </w:t>
      </w:r>
      <w:r w:rsidR="00C42FDB">
        <w:t xml:space="preserve">target SN </w:t>
      </w:r>
      <w:r w:rsidR="005E348E">
        <w:t xml:space="preserve">should thus </w:t>
      </w:r>
      <w:r w:rsidR="00C42FDB">
        <w:t xml:space="preserve">decide </w:t>
      </w:r>
      <w:r w:rsidR="00733A2C">
        <w:t xml:space="preserve">which SN initiated </w:t>
      </w:r>
      <w:r w:rsidR="00C42FDB">
        <w:t>CPC configurations that the UE should kee</w:t>
      </w:r>
      <w:r w:rsidR="006E3D98">
        <w:t>p after the cell group change</w:t>
      </w:r>
      <w:r w:rsidR="003F7595">
        <w:t>.</w:t>
      </w:r>
      <w:r w:rsidR="005E348E">
        <w:t xml:space="preserve"> </w:t>
      </w:r>
      <w:r w:rsidR="00733A2C">
        <w:t xml:space="preserve">For </w:t>
      </w:r>
      <w:r w:rsidR="005E348E">
        <w:t>MN</w:t>
      </w:r>
      <w:r w:rsidR="00733A2C">
        <w:t xml:space="preserve"> </w:t>
      </w:r>
      <w:r w:rsidR="005E348E">
        <w:t>initiated CPC</w:t>
      </w:r>
      <w:r w:rsidR="00733A2C">
        <w:t xml:space="preserve"> </w:t>
      </w:r>
      <w:r w:rsidR="00CC65CA">
        <w:t xml:space="preserve">(or CPA) it would however be </w:t>
      </w:r>
      <w:r w:rsidR="00733A2C">
        <w:t xml:space="preserve">the MN </w:t>
      </w:r>
      <w:r w:rsidR="00CC65CA">
        <w:t xml:space="preserve">that </w:t>
      </w:r>
      <w:r w:rsidR="00733A2C">
        <w:t>decide</w:t>
      </w:r>
      <w:r w:rsidR="00CC65CA">
        <w:t>s</w:t>
      </w:r>
      <w:r w:rsidR="00733A2C">
        <w:t xml:space="preserve"> which configurations to keep.</w:t>
      </w:r>
      <w:r w:rsidR="00FE7F6B">
        <w:t xml:space="preserve"> </w:t>
      </w:r>
      <w:r w:rsidR="00CC65CA">
        <w:t>A</w:t>
      </w:r>
      <w:r w:rsidR="00FE7F6B">
        <w:t xml:space="preserve"> </w:t>
      </w:r>
      <w:proofErr w:type="gramStart"/>
      <w:r w:rsidR="00FE7F6B">
        <w:t>high level</w:t>
      </w:r>
      <w:proofErr w:type="gramEnd"/>
      <w:r w:rsidR="00FE7F6B">
        <w:t xml:space="preserve"> signalling flow for this procedure in case of SN initiated CPC can be seen in </w:t>
      </w:r>
      <w:r w:rsidR="00FE7F6B">
        <w:fldChar w:fldCharType="begin"/>
      </w:r>
      <w:r w:rsidR="00FE7F6B">
        <w:instrText xml:space="preserve"> REF _Ref127274336 \h </w:instrText>
      </w:r>
      <w:r w:rsidR="00FE7F6B">
        <w:fldChar w:fldCharType="separate"/>
      </w:r>
      <w:r w:rsidR="00FE7F6B">
        <w:t xml:space="preserve">Figure </w:t>
      </w:r>
      <w:r w:rsidR="00FE7F6B">
        <w:rPr>
          <w:noProof/>
        </w:rPr>
        <w:t>1</w:t>
      </w:r>
      <w:r w:rsidR="00FE7F6B">
        <w:fldChar w:fldCharType="end"/>
      </w:r>
      <w:r w:rsidR="00FE7F6B">
        <w:t xml:space="preserve"> below.</w:t>
      </w:r>
    </w:p>
    <w:p w14:paraId="2C577FA4" w14:textId="23E16965" w:rsidR="001678D3" w:rsidRDefault="00C27BB8" w:rsidP="00016CB9">
      <w:pPr>
        <w:pStyle w:val="Proposal"/>
      </w:pPr>
      <w:bookmarkStart w:id="6" w:name="_Toc127477260"/>
      <w:r>
        <w:t>T</w:t>
      </w:r>
      <w:r w:rsidR="001678D3">
        <w:t xml:space="preserve">he UE should keep </w:t>
      </w:r>
      <w:r w:rsidR="007E646E">
        <w:t>(</w:t>
      </w:r>
      <w:proofErr w:type="gramStart"/>
      <w:r w:rsidR="007E646E">
        <w:t>i.e.</w:t>
      </w:r>
      <w:proofErr w:type="gramEnd"/>
      <w:r w:rsidR="007E646E">
        <w:t xml:space="preserve"> not release) </w:t>
      </w:r>
      <w:r w:rsidR="001678D3">
        <w:t xml:space="preserve">a </w:t>
      </w:r>
      <w:r w:rsidR="001A715B">
        <w:t xml:space="preserve">stored </w:t>
      </w:r>
      <w:r w:rsidR="001678D3">
        <w:t>CPC configuration after cell group change</w:t>
      </w:r>
      <w:r w:rsidR="00396391">
        <w:t>, and in that case whether it should be considered applicable,</w:t>
      </w:r>
      <w:r w:rsidR="001678D3">
        <w:t xml:space="preserve"> based on </w:t>
      </w:r>
      <w:r w:rsidR="00BA40B1">
        <w:t xml:space="preserve">information </w:t>
      </w:r>
      <w:r w:rsidR="00B83DA4">
        <w:t xml:space="preserve">received </w:t>
      </w:r>
      <w:r w:rsidR="00AE7B6B">
        <w:t xml:space="preserve">before the </w:t>
      </w:r>
      <w:r w:rsidR="00C65C58">
        <w:t>cell group change</w:t>
      </w:r>
      <w:r w:rsidR="00E97591">
        <w:t xml:space="preserve">, e.g. </w:t>
      </w:r>
      <w:r>
        <w:t xml:space="preserve">in the CPC configuration or </w:t>
      </w:r>
      <w:proofErr w:type="spellStart"/>
      <w:r>
        <w:t>PSCell</w:t>
      </w:r>
      <w:proofErr w:type="spellEnd"/>
      <w:r>
        <w:t xml:space="preserve"> change configuration that triggered the cell </w:t>
      </w:r>
      <w:r w:rsidR="007E646E">
        <w:t xml:space="preserve">group </w:t>
      </w:r>
      <w:r>
        <w:t>change.</w:t>
      </w:r>
      <w:bookmarkEnd w:id="6"/>
    </w:p>
    <w:p w14:paraId="2E44FD09" w14:textId="64033B3D" w:rsidR="00FE122E" w:rsidRDefault="00FE122E" w:rsidP="00B93BF6">
      <w:pPr>
        <w:rPr>
          <w:highlight w:val="yellow"/>
        </w:rPr>
      </w:pPr>
    </w:p>
    <w:p w14:paraId="23633470" w14:textId="560D72FC" w:rsidR="00B7114D" w:rsidRDefault="00B7114D" w:rsidP="00B93BF6">
      <w:r w:rsidRPr="00B7114D">
        <w:t xml:space="preserve">The serving SN </w:t>
      </w:r>
      <w:r w:rsidR="00FE7F6B">
        <w:t xml:space="preserve">is in control of the SN initiated CPC </w:t>
      </w:r>
      <w:proofErr w:type="gramStart"/>
      <w:r w:rsidR="00FE7F6B">
        <w:t>configurations</w:t>
      </w:r>
      <w:proofErr w:type="gramEnd"/>
      <w:r w:rsidR="00FE7F6B">
        <w:t xml:space="preserve"> and it thus </w:t>
      </w:r>
      <w:r w:rsidRPr="00B7114D">
        <w:t xml:space="preserve">needs to be aware </w:t>
      </w:r>
      <w:r w:rsidR="00922829">
        <w:t>of</w:t>
      </w:r>
      <w:r w:rsidRPr="00B7114D">
        <w:t xml:space="preserve"> </w:t>
      </w:r>
      <w:r w:rsidR="00FE7F6B">
        <w:t xml:space="preserve">all </w:t>
      </w:r>
      <w:r w:rsidRPr="00B7114D">
        <w:t>the SN</w:t>
      </w:r>
      <w:r w:rsidR="00425493">
        <w:t xml:space="preserve"> </w:t>
      </w:r>
      <w:r w:rsidRPr="00B7114D">
        <w:t xml:space="preserve">initiated CPC configurations that the UE has stored so that the configurations are consistent. </w:t>
      </w:r>
      <w:r w:rsidR="00FE7F6B">
        <w:t>The</w:t>
      </w:r>
      <w:r>
        <w:t xml:space="preserve"> target SN of an inter-SN cell group change, where the UE stores CPC configurations that it has received earlier, therefore need</w:t>
      </w:r>
      <w:r w:rsidR="00FE7F6B">
        <w:t>s</w:t>
      </w:r>
      <w:r>
        <w:t xml:space="preserve"> to get information </w:t>
      </w:r>
      <w:r>
        <w:lastRenderedPageBreak/>
        <w:t>about all SN</w:t>
      </w:r>
      <w:r w:rsidR="00425493">
        <w:t xml:space="preserve"> </w:t>
      </w:r>
      <w:r>
        <w:t xml:space="preserve">initiated CPC configurations that the UE has stored. In case of an inter-SN </w:t>
      </w:r>
      <w:proofErr w:type="spellStart"/>
      <w:r>
        <w:t>PSCell</w:t>
      </w:r>
      <w:proofErr w:type="spellEnd"/>
      <w:r>
        <w:t xml:space="preserve"> change the MN should therefore inform the target SN about </w:t>
      </w:r>
      <w:r w:rsidR="00152966">
        <w:t xml:space="preserve">which </w:t>
      </w:r>
      <w:r w:rsidR="004B7CE5">
        <w:t xml:space="preserve">SN initiated </w:t>
      </w:r>
      <w:r w:rsidR="00F571EA" w:rsidRPr="00F571EA">
        <w:t>CPC configurations</w:t>
      </w:r>
      <w:r w:rsidR="00C916EC">
        <w:t xml:space="preserve"> </w:t>
      </w:r>
      <w:r>
        <w:t>that the UE has stored.</w:t>
      </w:r>
    </w:p>
    <w:p w14:paraId="797C0BC1" w14:textId="77E6EA5F" w:rsidR="00E34826" w:rsidRPr="00CE0424" w:rsidRDefault="00E34826" w:rsidP="00E34826">
      <w:pPr>
        <w:pStyle w:val="Observation"/>
      </w:pPr>
      <w:bookmarkStart w:id="7" w:name="_Toc127477252"/>
      <w:r>
        <w:t xml:space="preserve">In case of a </w:t>
      </w:r>
      <w:proofErr w:type="spellStart"/>
      <w:r>
        <w:t>PSCell</w:t>
      </w:r>
      <w:proofErr w:type="spellEnd"/>
      <w:r>
        <w:t xml:space="preserve"> change the target SN needs to have the information about the SN</w:t>
      </w:r>
      <w:r w:rsidR="00425493">
        <w:t xml:space="preserve"> </w:t>
      </w:r>
      <w:r>
        <w:t xml:space="preserve">initiated </w:t>
      </w:r>
      <w:r w:rsidR="00BA40B1">
        <w:t>CPC</w:t>
      </w:r>
      <w:r>
        <w:t xml:space="preserve"> configurations that the UE has stored.</w:t>
      </w:r>
      <w:bookmarkEnd w:id="7"/>
    </w:p>
    <w:p w14:paraId="5B1C33FC" w14:textId="0A558931" w:rsidR="00E34826" w:rsidRDefault="00E34826" w:rsidP="00E34826">
      <w:pPr>
        <w:pStyle w:val="Proposal"/>
      </w:pPr>
      <w:bookmarkStart w:id="8" w:name="_Toc127477261"/>
      <w:r>
        <w:t xml:space="preserve">In case of an inter-SN </w:t>
      </w:r>
      <w:proofErr w:type="spellStart"/>
      <w:r>
        <w:t>PSCell</w:t>
      </w:r>
      <w:proofErr w:type="spellEnd"/>
      <w:r>
        <w:t xml:space="preserve"> change the MN should inform the target SN about </w:t>
      </w:r>
      <w:r w:rsidR="00152966">
        <w:t>which</w:t>
      </w:r>
      <w:r>
        <w:t xml:space="preserve"> SN</w:t>
      </w:r>
      <w:r w:rsidR="00425493">
        <w:t xml:space="preserve"> </w:t>
      </w:r>
      <w:r>
        <w:t>initiated C</w:t>
      </w:r>
      <w:r w:rsidR="00BA40B1">
        <w:t>PC</w:t>
      </w:r>
      <w:r>
        <w:t xml:space="preserve"> configurations that the UE has stored.</w:t>
      </w:r>
      <w:bookmarkEnd w:id="8"/>
    </w:p>
    <w:p w14:paraId="51C1BBDA" w14:textId="2034A444" w:rsidR="00E34826" w:rsidRDefault="00E34826" w:rsidP="00B93BF6"/>
    <w:p w14:paraId="61FEAAEB" w14:textId="77777777" w:rsidR="00A66B54" w:rsidRDefault="006D664D" w:rsidP="00A66B54">
      <w:pPr>
        <w:keepNext/>
      </w:pPr>
      <w:r>
        <w:rPr>
          <w:noProof/>
        </w:rPr>
        <w:drawing>
          <wp:inline distT="0" distB="0" distL="0" distR="0" wp14:anchorId="0060EBA8" wp14:editId="5E996C87">
            <wp:extent cx="6077530" cy="4166004"/>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88421" cy="4173470"/>
                    </a:xfrm>
                    <a:prstGeom prst="rect">
                      <a:avLst/>
                    </a:prstGeom>
                    <a:noFill/>
                  </pic:spPr>
                </pic:pic>
              </a:graphicData>
            </a:graphic>
          </wp:inline>
        </w:drawing>
      </w:r>
    </w:p>
    <w:p w14:paraId="412C55E2" w14:textId="0904B067" w:rsidR="003E1D83" w:rsidRDefault="00A66B54" w:rsidP="00794DCE">
      <w:pPr>
        <w:pStyle w:val="Caption"/>
        <w:ind w:left="567"/>
      </w:pPr>
      <w:bookmarkStart w:id="9" w:name="_Ref127274336"/>
      <w:r>
        <w:t xml:space="preserve">Figure </w:t>
      </w:r>
      <w:r w:rsidR="00B650FA">
        <w:fldChar w:fldCharType="begin"/>
      </w:r>
      <w:r w:rsidR="00B650FA">
        <w:instrText xml:space="preserve"> SEQ Figure \* ARABIC </w:instrText>
      </w:r>
      <w:r w:rsidR="00B650FA">
        <w:fldChar w:fldCharType="separate"/>
      </w:r>
      <w:r>
        <w:rPr>
          <w:noProof/>
        </w:rPr>
        <w:t>1</w:t>
      </w:r>
      <w:r w:rsidR="00B650FA">
        <w:rPr>
          <w:noProof/>
        </w:rPr>
        <w:fldChar w:fldCharType="end"/>
      </w:r>
      <w:bookmarkEnd w:id="9"/>
      <w:r>
        <w:t xml:space="preserve"> </w:t>
      </w:r>
      <w:r w:rsidRPr="003F2558">
        <w:t xml:space="preserve">A high-level </w:t>
      </w:r>
      <w:r>
        <w:t xml:space="preserve">signalling flow </w:t>
      </w:r>
      <w:r w:rsidRPr="00343AD0">
        <w:t xml:space="preserve">for how the </w:t>
      </w:r>
      <w:r>
        <w:t>network</w:t>
      </w:r>
      <w:r w:rsidRPr="00343AD0">
        <w:t xml:space="preserve"> configures the UE to </w:t>
      </w:r>
      <w:r>
        <w:t>store</w:t>
      </w:r>
      <w:r w:rsidRPr="00343AD0">
        <w:t xml:space="preserve"> or release </w:t>
      </w:r>
      <w:r>
        <w:t>the</w:t>
      </w:r>
      <w:r w:rsidRPr="00343AD0">
        <w:t xml:space="preserve"> CPC configurations </w:t>
      </w:r>
      <w:r>
        <w:t xml:space="preserve">for SN initiated inter-SN </w:t>
      </w:r>
      <w:proofErr w:type="spellStart"/>
      <w:r>
        <w:t>PS</w:t>
      </w:r>
      <w:r w:rsidR="00FE7F6B">
        <w:t>C</w:t>
      </w:r>
      <w:r>
        <w:t>ell</w:t>
      </w:r>
      <w:proofErr w:type="spellEnd"/>
      <w:r>
        <w:t xml:space="preserve"> change.</w:t>
      </w:r>
    </w:p>
    <w:p w14:paraId="29E1D777" w14:textId="77777777" w:rsidR="008A31A8" w:rsidRPr="003F2558" w:rsidRDefault="008A31A8" w:rsidP="00B93BF6"/>
    <w:p w14:paraId="23057D2A" w14:textId="76B9C69D" w:rsidR="00793404" w:rsidRDefault="00793404" w:rsidP="004E16BB">
      <w:pPr>
        <w:pStyle w:val="Heading2"/>
      </w:pPr>
      <w:r>
        <w:t>2.</w:t>
      </w:r>
      <w:r w:rsidR="007B7514">
        <w:t>2</w:t>
      </w:r>
      <w:r>
        <w:tab/>
        <w:t>Handling of execution conditions and measurement configurations</w:t>
      </w:r>
    </w:p>
    <w:p w14:paraId="249F7C91" w14:textId="59139690" w:rsidR="00793404" w:rsidRDefault="005E7FD1" w:rsidP="00793404">
      <w:pPr>
        <w:rPr>
          <w:highlight w:val="yellow"/>
        </w:rPr>
      </w:pPr>
      <w:r w:rsidRPr="005E7FD1">
        <w:t xml:space="preserve">When the UE stores the CPC configuration </w:t>
      </w:r>
      <w:r w:rsidR="00CC65CA">
        <w:t xml:space="preserve">(including the execution conditions) </w:t>
      </w:r>
      <w:r w:rsidRPr="005E7FD1">
        <w:t xml:space="preserve">after </w:t>
      </w:r>
      <w:r w:rsidR="00B56B30">
        <w:t xml:space="preserve">a </w:t>
      </w:r>
      <w:r w:rsidRPr="005E7FD1">
        <w:t xml:space="preserve">cell group change, as </w:t>
      </w:r>
      <w:r w:rsidR="00F63FFE">
        <w:t xml:space="preserve">discussed </w:t>
      </w:r>
      <w:r w:rsidRPr="005E7FD1">
        <w:t xml:space="preserve">in </w:t>
      </w:r>
      <w:r w:rsidR="00F63FFE">
        <w:t xml:space="preserve">section </w:t>
      </w:r>
      <w:r w:rsidR="004C570D">
        <w:t>2.1</w:t>
      </w:r>
      <w:r w:rsidRPr="005E7FD1">
        <w:t xml:space="preserve">, the corresponding conditional </w:t>
      </w:r>
      <w:proofErr w:type="spellStart"/>
      <w:r w:rsidRPr="00FB0994">
        <w:rPr>
          <w:i/>
          <w:iCs/>
        </w:rPr>
        <w:t>measConfig</w:t>
      </w:r>
      <w:proofErr w:type="spellEnd"/>
      <w:r w:rsidRPr="005E7FD1">
        <w:t xml:space="preserve"> parts should </w:t>
      </w:r>
      <w:r w:rsidR="00F63FFE">
        <w:t xml:space="preserve">also </w:t>
      </w:r>
      <w:r w:rsidRPr="005E7FD1">
        <w:t xml:space="preserve">be kept </w:t>
      </w:r>
      <w:proofErr w:type="gramStart"/>
      <w:r w:rsidR="00F63FFE">
        <w:t>in order to</w:t>
      </w:r>
      <w:proofErr w:type="gramEnd"/>
      <w:r w:rsidR="00F63FFE">
        <w:t xml:space="preserve"> avoid the need for reconfigurations</w:t>
      </w:r>
      <w:r w:rsidRPr="005E7FD1">
        <w:t>.</w:t>
      </w:r>
    </w:p>
    <w:p w14:paraId="184DC917" w14:textId="04231881" w:rsidR="00793404" w:rsidRDefault="006E6A94" w:rsidP="00793404">
      <w:pPr>
        <w:pStyle w:val="Proposal"/>
      </w:pPr>
      <w:bookmarkStart w:id="10" w:name="_Toc127477262"/>
      <w:r>
        <w:t xml:space="preserve">When the </w:t>
      </w:r>
      <w:r w:rsidRPr="00DC5A16">
        <w:t xml:space="preserve">CPC configuration </w:t>
      </w:r>
      <w:r w:rsidR="000A66D4">
        <w:t>(including execution conditions)</w:t>
      </w:r>
      <w:r w:rsidRPr="00DC5A16">
        <w:t xml:space="preserve"> </w:t>
      </w:r>
      <w:r>
        <w:t xml:space="preserve">is stored </w:t>
      </w:r>
      <w:r w:rsidRPr="00DC5A16">
        <w:t>after cell group change</w:t>
      </w:r>
      <w:r>
        <w:t>, t</w:t>
      </w:r>
      <w:r w:rsidR="002978A5">
        <w:t xml:space="preserve">he UE should </w:t>
      </w:r>
      <w:r w:rsidR="00DC5A16">
        <w:t>keep</w:t>
      </w:r>
      <w:r w:rsidR="002978A5">
        <w:t xml:space="preserve"> the </w:t>
      </w:r>
      <w:r>
        <w:t xml:space="preserve">corresponding </w:t>
      </w:r>
      <w:r w:rsidR="002978A5" w:rsidRPr="005E7FD1">
        <w:t xml:space="preserve">conditional </w:t>
      </w:r>
      <w:proofErr w:type="spellStart"/>
      <w:r w:rsidR="002978A5" w:rsidRPr="00FB0994">
        <w:rPr>
          <w:i/>
          <w:iCs/>
        </w:rPr>
        <w:t>measConfig</w:t>
      </w:r>
      <w:proofErr w:type="spellEnd"/>
      <w:r w:rsidR="00793404">
        <w:t>.</w:t>
      </w:r>
      <w:bookmarkEnd w:id="10"/>
    </w:p>
    <w:p w14:paraId="7B0EEE8C" w14:textId="77777777" w:rsidR="00B47963" w:rsidRDefault="00B47963" w:rsidP="00B47963"/>
    <w:p w14:paraId="1F9CAFE0" w14:textId="7C3BCAD3" w:rsidR="00B47963" w:rsidRDefault="002139AC" w:rsidP="00B47963">
      <w:r>
        <w:t>In some cases</w:t>
      </w:r>
      <w:r w:rsidR="00E962BF">
        <w:t>,</w:t>
      </w:r>
      <w:r>
        <w:t xml:space="preserve"> t</w:t>
      </w:r>
      <w:r w:rsidR="00B47963">
        <w:t xml:space="preserve">he </w:t>
      </w:r>
      <w:r w:rsidR="00E3779F">
        <w:t xml:space="preserve">stored </w:t>
      </w:r>
      <w:r w:rsidR="00B47963">
        <w:t xml:space="preserve">execution conditions and conditional </w:t>
      </w:r>
      <w:proofErr w:type="spellStart"/>
      <w:r w:rsidR="00B47963" w:rsidRPr="00E3779F">
        <w:rPr>
          <w:i/>
          <w:iCs/>
        </w:rPr>
        <w:t>measConfig</w:t>
      </w:r>
      <w:proofErr w:type="spellEnd"/>
      <w:r w:rsidR="00B47963">
        <w:t xml:space="preserve"> might not </w:t>
      </w:r>
      <w:r>
        <w:t xml:space="preserve">be optimal </w:t>
      </w:r>
      <w:r w:rsidR="00B47963">
        <w:t xml:space="preserve">when the UE </w:t>
      </w:r>
      <w:r w:rsidR="00B56B30">
        <w:t xml:space="preserve">performs a </w:t>
      </w:r>
      <w:proofErr w:type="spellStart"/>
      <w:r w:rsidR="00B56B30">
        <w:t>PSCell</w:t>
      </w:r>
      <w:proofErr w:type="spellEnd"/>
      <w:r w:rsidR="00B56B30">
        <w:t xml:space="preserve"> change </w:t>
      </w:r>
      <w:r w:rsidR="00B47963">
        <w:t xml:space="preserve">to </w:t>
      </w:r>
      <w:r>
        <w:t xml:space="preserve">a new </w:t>
      </w:r>
      <w:r w:rsidR="00B47963">
        <w:t xml:space="preserve">target SN. </w:t>
      </w:r>
      <w:r w:rsidR="00B56B30">
        <w:t>F</w:t>
      </w:r>
      <w:r w:rsidR="002818CA">
        <w:t>or SN initiated CPC configurations, t</w:t>
      </w:r>
      <w:r w:rsidR="00B47963">
        <w:t xml:space="preserve">he target SN </w:t>
      </w:r>
      <w:r>
        <w:t xml:space="preserve">therefore </w:t>
      </w:r>
      <w:r w:rsidR="008B082C">
        <w:t xml:space="preserve">needs to </w:t>
      </w:r>
      <w:r w:rsidR="00B47963">
        <w:t xml:space="preserve">have the possibility to update </w:t>
      </w:r>
      <w:r>
        <w:t xml:space="preserve">the execution conditions and corresponding </w:t>
      </w:r>
      <w:proofErr w:type="spellStart"/>
      <w:r w:rsidRPr="002139AC">
        <w:rPr>
          <w:i/>
          <w:iCs/>
        </w:rPr>
        <w:t>measConfig</w:t>
      </w:r>
      <w:proofErr w:type="spellEnd"/>
      <w:r w:rsidR="00B47963">
        <w:t>. This</w:t>
      </w:r>
      <w:r w:rsidR="008B082C">
        <w:t xml:space="preserve">, in turn, </w:t>
      </w:r>
      <w:r w:rsidR="00B47963">
        <w:t xml:space="preserve">requires that the target SN </w:t>
      </w:r>
      <w:r w:rsidR="00F96146">
        <w:t xml:space="preserve">is aware of the </w:t>
      </w:r>
      <w:r w:rsidR="002D1B04" w:rsidRPr="002D1B04">
        <w:t xml:space="preserve">execution conditions and conditional </w:t>
      </w:r>
      <w:proofErr w:type="spellStart"/>
      <w:r w:rsidR="002D1B04" w:rsidRPr="002D1B04">
        <w:rPr>
          <w:i/>
          <w:iCs/>
        </w:rPr>
        <w:t>measConfig</w:t>
      </w:r>
      <w:proofErr w:type="spellEnd"/>
      <w:r w:rsidR="00B47963">
        <w:t xml:space="preserve"> </w:t>
      </w:r>
      <w:r w:rsidR="00EC5121">
        <w:t>that</w:t>
      </w:r>
      <w:r w:rsidR="00B47963">
        <w:t xml:space="preserve"> the UE</w:t>
      </w:r>
      <w:r w:rsidR="00EC5121">
        <w:t xml:space="preserve"> has stored</w:t>
      </w:r>
      <w:r w:rsidR="00B47963">
        <w:t>.</w:t>
      </w:r>
    </w:p>
    <w:p w14:paraId="6815ABD4" w14:textId="0BEE59D2" w:rsidR="00297581" w:rsidRPr="00B7418F" w:rsidRDefault="00B47963" w:rsidP="00297581">
      <w:r>
        <w:lastRenderedPageBreak/>
        <w:t xml:space="preserve">The following alternatives </w:t>
      </w:r>
      <w:r w:rsidR="008B082C">
        <w:t xml:space="preserve">for the target SN to get hold of the execution conditions and related conditional </w:t>
      </w:r>
      <w:proofErr w:type="spellStart"/>
      <w:r w:rsidR="008B082C" w:rsidRPr="008B082C">
        <w:rPr>
          <w:i/>
          <w:iCs/>
        </w:rPr>
        <w:t>measConfig</w:t>
      </w:r>
      <w:proofErr w:type="spellEnd"/>
      <w:r w:rsidR="008B082C">
        <w:t xml:space="preserve"> </w:t>
      </w:r>
      <w:r w:rsidR="002818CA">
        <w:t xml:space="preserve">for SN initiated CPC configurations </w:t>
      </w:r>
      <w:r>
        <w:t>can be identified:</w:t>
      </w:r>
    </w:p>
    <w:p w14:paraId="6D56CC67" w14:textId="0625577B" w:rsidR="00B47DD1" w:rsidRPr="00B47DD1" w:rsidRDefault="00B47963" w:rsidP="00051A25">
      <w:pPr>
        <w:pStyle w:val="ListParagraph"/>
        <w:numPr>
          <w:ilvl w:val="0"/>
          <w:numId w:val="14"/>
        </w:numPr>
        <w:rPr>
          <w:rFonts w:ascii="Times New Roman" w:hAnsi="Times New Roman"/>
          <w:sz w:val="20"/>
          <w:szCs w:val="20"/>
        </w:rPr>
      </w:pPr>
      <w:r w:rsidRPr="00B47DD1">
        <w:rPr>
          <w:rFonts w:ascii="Times New Roman" w:hAnsi="Times New Roman"/>
          <w:sz w:val="20"/>
          <w:szCs w:val="20"/>
        </w:rPr>
        <w:t xml:space="preserve">The MN informs the target SN about </w:t>
      </w:r>
      <w:r w:rsidR="003148BF" w:rsidRPr="00B47DD1">
        <w:rPr>
          <w:rFonts w:ascii="Times New Roman" w:hAnsi="Times New Roman"/>
          <w:sz w:val="20"/>
          <w:szCs w:val="20"/>
        </w:rPr>
        <w:t xml:space="preserve">the execution conditions and conditional </w:t>
      </w:r>
      <w:proofErr w:type="spellStart"/>
      <w:r w:rsidR="003148BF" w:rsidRPr="00A8671A">
        <w:rPr>
          <w:rFonts w:ascii="Times New Roman" w:hAnsi="Times New Roman"/>
          <w:i/>
          <w:iCs/>
          <w:sz w:val="20"/>
          <w:szCs w:val="20"/>
        </w:rPr>
        <w:t>measConfig</w:t>
      </w:r>
      <w:proofErr w:type="spellEnd"/>
      <w:r w:rsidR="003148BF" w:rsidRPr="00B47DD1">
        <w:rPr>
          <w:rFonts w:ascii="Times New Roman" w:hAnsi="Times New Roman"/>
          <w:sz w:val="20"/>
          <w:szCs w:val="20"/>
        </w:rPr>
        <w:t xml:space="preserve"> </w:t>
      </w:r>
      <w:r w:rsidRPr="00B47DD1">
        <w:rPr>
          <w:rFonts w:ascii="Times New Roman" w:hAnsi="Times New Roman"/>
          <w:sz w:val="20"/>
          <w:szCs w:val="20"/>
        </w:rPr>
        <w:t xml:space="preserve">stored by the UE. </w:t>
      </w:r>
      <w:r w:rsidR="003148BF" w:rsidRPr="00B47DD1">
        <w:rPr>
          <w:rFonts w:ascii="Times New Roman" w:hAnsi="Times New Roman"/>
          <w:sz w:val="20"/>
          <w:szCs w:val="20"/>
        </w:rPr>
        <w:t>Th</w:t>
      </w:r>
      <w:r w:rsidR="002556FA">
        <w:rPr>
          <w:rFonts w:ascii="Times New Roman" w:hAnsi="Times New Roman"/>
          <w:sz w:val="20"/>
          <w:szCs w:val="20"/>
          <w:lang w:val="en-US"/>
        </w:rPr>
        <w:t>is</w:t>
      </w:r>
      <w:r w:rsidR="003148BF" w:rsidRPr="00B47DD1">
        <w:rPr>
          <w:rFonts w:ascii="Times New Roman" w:hAnsi="Times New Roman"/>
          <w:sz w:val="20"/>
          <w:szCs w:val="20"/>
        </w:rPr>
        <w:t xml:space="preserve"> information can </w:t>
      </w:r>
      <w:r w:rsidR="002139AC">
        <w:rPr>
          <w:rFonts w:ascii="Times New Roman" w:hAnsi="Times New Roman"/>
          <w:sz w:val="20"/>
          <w:szCs w:val="20"/>
          <w:lang w:val="en-US"/>
        </w:rPr>
        <w:t xml:space="preserve">e.g. </w:t>
      </w:r>
      <w:r w:rsidR="003148BF" w:rsidRPr="00B47DD1">
        <w:rPr>
          <w:rFonts w:ascii="Times New Roman" w:hAnsi="Times New Roman"/>
          <w:sz w:val="20"/>
          <w:szCs w:val="20"/>
        </w:rPr>
        <w:t xml:space="preserve">be </w:t>
      </w:r>
      <w:r w:rsidR="003D6884">
        <w:rPr>
          <w:rFonts w:ascii="Times New Roman" w:hAnsi="Times New Roman"/>
          <w:sz w:val="20"/>
          <w:szCs w:val="20"/>
          <w:lang w:val="en-US"/>
        </w:rPr>
        <w:t>provided</w:t>
      </w:r>
      <w:r w:rsidR="003148BF" w:rsidRPr="00B47DD1">
        <w:rPr>
          <w:rFonts w:ascii="Times New Roman" w:hAnsi="Times New Roman"/>
          <w:sz w:val="20"/>
          <w:szCs w:val="20"/>
        </w:rPr>
        <w:t xml:space="preserve"> </w:t>
      </w:r>
      <w:r w:rsidR="00C34F8E" w:rsidRPr="00B47DD1">
        <w:rPr>
          <w:rFonts w:ascii="Times New Roman" w:hAnsi="Times New Roman"/>
          <w:sz w:val="20"/>
          <w:szCs w:val="20"/>
        </w:rPr>
        <w:t xml:space="preserve">when the </w:t>
      </w:r>
      <w:r w:rsidR="00E7513D" w:rsidRPr="00B47DD1">
        <w:rPr>
          <w:rFonts w:ascii="Times New Roman" w:hAnsi="Times New Roman"/>
          <w:sz w:val="20"/>
          <w:szCs w:val="20"/>
        </w:rPr>
        <w:t xml:space="preserve">MN </w:t>
      </w:r>
      <w:r w:rsidR="00B47DD1">
        <w:rPr>
          <w:rFonts w:ascii="Times New Roman" w:hAnsi="Times New Roman"/>
          <w:sz w:val="20"/>
          <w:szCs w:val="20"/>
          <w:lang w:val="en-US"/>
        </w:rPr>
        <w:t>send</w:t>
      </w:r>
      <w:r w:rsidR="005B00F4">
        <w:rPr>
          <w:rFonts w:ascii="Times New Roman" w:hAnsi="Times New Roman"/>
          <w:sz w:val="20"/>
          <w:szCs w:val="20"/>
          <w:lang w:val="en-US"/>
        </w:rPr>
        <w:t>s</w:t>
      </w:r>
      <w:r w:rsidR="00B47DD1">
        <w:rPr>
          <w:rFonts w:ascii="Times New Roman" w:hAnsi="Times New Roman"/>
          <w:sz w:val="20"/>
          <w:szCs w:val="20"/>
          <w:lang w:val="en-US"/>
        </w:rPr>
        <w:t xml:space="preserve"> to</w:t>
      </w:r>
      <w:r w:rsidR="00E7513D" w:rsidRPr="00B47DD1">
        <w:rPr>
          <w:rFonts w:ascii="Times New Roman" w:hAnsi="Times New Roman"/>
          <w:sz w:val="20"/>
          <w:szCs w:val="20"/>
        </w:rPr>
        <w:t xml:space="preserve"> the target SN </w:t>
      </w:r>
      <w:r w:rsidR="002139AC">
        <w:rPr>
          <w:rFonts w:ascii="Times New Roman" w:hAnsi="Times New Roman"/>
          <w:sz w:val="20"/>
          <w:szCs w:val="20"/>
          <w:lang w:val="en-US"/>
        </w:rPr>
        <w:t xml:space="preserve">information about </w:t>
      </w:r>
      <w:r w:rsidR="00E7513D" w:rsidRPr="00B47DD1">
        <w:rPr>
          <w:rFonts w:ascii="Times New Roman" w:hAnsi="Times New Roman"/>
          <w:sz w:val="20"/>
          <w:szCs w:val="20"/>
        </w:rPr>
        <w:t>the SN</w:t>
      </w:r>
      <w:r w:rsidR="00425493">
        <w:rPr>
          <w:rFonts w:ascii="Times New Roman" w:hAnsi="Times New Roman"/>
          <w:sz w:val="20"/>
          <w:szCs w:val="20"/>
          <w:lang w:val="en-US"/>
        </w:rPr>
        <w:t xml:space="preserve"> </w:t>
      </w:r>
      <w:r w:rsidR="00E7513D" w:rsidRPr="00B47DD1">
        <w:rPr>
          <w:rFonts w:ascii="Times New Roman" w:hAnsi="Times New Roman"/>
          <w:sz w:val="20"/>
          <w:szCs w:val="20"/>
        </w:rPr>
        <w:t xml:space="preserve">initiated </w:t>
      </w:r>
      <w:r w:rsidR="002139AC">
        <w:rPr>
          <w:rFonts w:ascii="Times New Roman" w:hAnsi="Times New Roman"/>
          <w:sz w:val="20"/>
          <w:szCs w:val="20"/>
          <w:lang w:val="en-US"/>
        </w:rPr>
        <w:t xml:space="preserve">CPC </w:t>
      </w:r>
      <w:r w:rsidR="00E7513D" w:rsidRPr="00B47DD1">
        <w:rPr>
          <w:rFonts w:ascii="Times New Roman" w:hAnsi="Times New Roman"/>
          <w:sz w:val="20"/>
          <w:szCs w:val="20"/>
        </w:rPr>
        <w:t>configurations that the UE has stored</w:t>
      </w:r>
      <w:r w:rsidR="002139AC">
        <w:rPr>
          <w:rFonts w:ascii="Times New Roman" w:hAnsi="Times New Roman"/>
          <w:sz w:val="20"/>
          <w:szCs w:val="20"/>
          <w:lang w:val="en-US"/>
        </w:rPr>
        <w:t xml:space="preserve">, as </w:t>
      </w:r>
      <w:r w:rsidR="008B082C">
        <w:rPr>
          <w:rFonts w:ascii="Times New Roman" w:hAnsi="Times New Roman"/>
          <w:sz w:val="20"/>
          <w:szCs w:val="20"/>
          <w:lang w:val="en-US"/>
        </w:rPr>
        <w:t xml:space="preserve">discussed in section </w:t>
      </w:r>
      <w:r w:rsidR="003707F0">
        <w:rPr>
          <w:rFonts w:ascii="Times New Roman" w:hAnsi="Times New Roman"/>
          <w:sz w:val="20"/>
          <w:szCs w:val="20"/>
          <w:lang w:val="en-US"/>
        </w:rPr>
        <w:t>2.1</w:t>
      </w:r>
      <w:r w:rsidR="00C34F8E" w:rsidRPr="00B47DD1">
        <w:rPr>
          <w:rFonts w:ascii="Times New Roman" w:hAnsi="Times New Roman"/>
          <w:sz w:val="20"/>
          <w:szCs w:val="20"/>
        </w:rPr>
        <w:t>.</w:t>
      </w:r>
    </w:p>
    <w:p w14:paraId="34D63AA0" w14:textId="7C9367AA" w:rsidR="00CE7EEE" w:rsidRPr="00B47DD1" w:rsidRDefault="00B47963" w:rsidP="00051A25">
      <w:pPr>
        <w:pStyle w:val="ListParagraph"/>
        <w:numPr>
          <w:ilvl w:val="0"/>
          <w:numId w:val="14"/>
        </w:numPr>
        <w:rPr>
          <w:rFonts w:ascii="Times New Roman" w:hAnsi="Times New Roman"/>
          <w:sz w:val="20"/>
          <w:szCs w:val="20"/>
        </w:rPr>
      </w:pPr>
      <w:r w:rsidRPr="00B47DD1">
        <w:rPr>
          <w:rFonts w:ascii="Times New Roman" w:hAnsi="Times New Roman"/>
          <w:sz w:val="20"/>
          <w:szCs w:val="20"/>
        </w:rPr>
        <w:t xml:space="preserve">The UE sends to the target SN (via the MN) the stored </w:t>
      </w:r>
      <w:r w:rsidR="006769B6" w:rsidRPr="00B47DD1">
        <w:rPr>
          <w:rFonts w:ascii="Times New Roman" w:hAnsi="Times New Roman"/>
          <w:sz w:val="20"/>
          <w:szCs w:val="20"/>
        </w:rPr>
        <w:t xml:space="preserve">the execution conditions and conditional </w:t>
      </w:r>
      <w:proofErr w:type="spellStart"/>
      <w:r w:rsidR="006769B6" w:rsidRPr="00A8671A">
        <w:rPr>
          <w:rFonts w:ascii="Times New Roman" w:hAnsi="Times New Roman"/>
          <w:i/>
          <w:iCs/>
          <w:sz w:val="20"/>
          <w:szCs w:val="20"/>
        </w:rPr>
        <w:t>measConfig</w:t>
      </w:r>
      <w:proofErr w:type="spellEnd"/>
      <w:r w:rsidRPr="00B47DD1">
        <w:rPr>
          <w:rFonts w:ascii="Times New Roman" w:hAnsi="Times New Roman"/>
          <w:sz w:val="20"/>
          <w:szCs w:val="20"/>
        </w:rPr>
        <w:t xml:space="preserve"> when executing the </w:t>
      </w:r>
      <w:proofErr w:type="spellStart"/>
      <w:r w:rsidR="00B56B30">
        <w:rPr>
          <w:rFonts w:ascii="Times New Roman" w:hAnsi="Times New Roman"/>
          <w:sz w:val="20"/>
          <w:szCs w:val="20"/>
          <w:lang w:val="en-US"/>
        </w:rPr>
        <w:t>PSCell</w:t>
      </w:r>
      <w:proofErr w:type="spellEnd"/>
      <w:r w:rsidR="008B082C">
        <w:rPr>
          <w:rFonts w:ascii="Times New Roman" w:hAnsi="Times New Roman"/>
          <w:sz w:val="20"/>
          <w:szCs w:val="20"/>
          <w:lang w:val="en-US"/>
        </w:rPr>
        <w:t xml:space="preserve"> change procedure </w:t>
      </w:r>
      <w:r w:rsidRPr="00B47DD1">
        <w:rPr>
          <w:rFonts w:ascii="Times New Roman" w:hAnsi="Times New Roman"/>
          <w:sz w:val="20"/>
          <w:szCs w:val="20"/>
        </w:rPr>
        <w:t xml:space="preserve">(e.g. in </w:t>
      </w:r>
      <w:proofErr w:type="spellStart"/>
      <w:r w:rsidRPr="008B082C">
        <w:rPr>
          <w:rFonts w:ascii="Times New Roman" w:hAnsi="Times New Roman"/>
          <w:i/>
          <w:iCs/>
          <w:sz w:val="20"/>
          <w:szCs w:val="20"/>
        </w:rPr>
        <w:t>RRCReconfigurationComplete</w:t>
      </w:r>
      <w:proofErr w:type="spellEnd"/>
      <w:r w:rsidRPr="00B47DD1">
        <w:rPr>
          <w:rFonts w:ascii="Times New Roman" w:hAnsi="Times New Roman"/>
          <w:sz w:val="20"/>
          <w:szCs w:val="20"/>
        </w:rPr>
        <w:t>).</w:t>
      </w:r>
    </w:p>
    <w:p w14:paraId="6720D7EB" w14:textId="77777777" w:rsidR="00CE7AAB" w:rsidRDefault="00CE7AAB" w:rsidP="003F3876">
      <w:pPr>
        <w:rPr>
          <w:highlight w:val="yellow"/>
        </w:rPr>
      </w:pPr>
    </w:p>
    <w:p w14:paraId="4C373357" w14:textId="40A76BBC" w:rsidR="00746125" w:rsidRPr="00B56B30" w:rsidRDefault="00CE7AAB" w:rsidP="003F3876">
      <w:r w:rsidRPr="00B56B30">
        <w:t>T</w:t>
      </w:r>
      <w:r w:rsidR="008B082C" w:rsidRPr="00B56B30">
        <w:t xml:space="preserve">o let </w:t>
      </w:r>
      <w:r w:rsidRPr="00B56B30">
        <w:t xml:space="preserve">the </w:t>
      </w:r>
      <w:proofErr w:type="gramStart"/>
      <w:r w:rsidRPr="00B56B30">
        <w:t>MN</w:t>
      </w:r>
      <w:proofErr w:type="gramEnd"/>
      <w:r w:rsidRPr="00B56B30">
        <w:t xml:space="preserve"> provide </w:t>
      </w:r>
      <w:r w:rsidR="00454625" w:rsidRPr="00B56B30">
        <w:t xml:space="preserve">the execution conditions and conditional </w:t>
      </w:r>
      <w:proofErr w:type="spellStart"/>
      <w:r w:rsidR="00454625" w:rsidRPr="00B56B30">
        <w:rPr>
          <w:i/>
          <w:iCs/>
        </w:rPr>
        <w:t>measConfig</w:t>
      </w:r>
      <w:proofErr w:type="spellEnd"/>
      <w:r w:rsidR="00454625" w:rsidRPr="00B56B30">
        <w:t xml:space="preserve"> to the target SN </w:t>
      </w:r>
      <w:r w:rsidR="002E7133" w:rsidRPr="00B56B30">
        <w:t xml:space="preserve">requires that the MN </w:t>
      </w:r>
      <w:r w:rsidR="008B082C" w:rsidRPr="00B56B30">
        <w:t xml:space="preserve">keeps </w:t>
      </w:r>
      <w:r w:rsidR="002818CA" w:rsidRPr="00B56B30">
        <w:t xml:space="preserve">an up to date </w:t>
      </w:r>
      <w:r w:rsidR="008B082C" w:rsidRPr="00B56B30">
        <w:t xml:space="preserve">list of </w:t>
      </w:r>
      <w:r w:rsidR="002818CA" w:rsidRPr="00B56B30">
        <w:t xml:space="preserve">the </w:t>
      </w:r>
      <w:r w:rsidR="008B082C" w:rsidRPr="00B56B30">
        <w:t xml:space="preserve">execution conditions and the SCG </w:t>
      </w:r>
      <w:proofErr w:type="spellStart"/>
      <w:r w:rsidR="008B082C" w:rsidRPr="00B56B30">
        <w:rPr>
          <w:i/>
          <w:iCs/>
        </w:rPr>
        <w:t>measConfig</w:t>
      </w:r>
      <w:proofErr w:type="spellEnd"/>
      <w:r w:rsidR="008B082C" w:rsidRPr="00B56B30">
        <w:t xml:space="preserve"> and </w:t>
      </w:r>
      <w:r w:rsidR="00632833" w:rsidRPr="00B56B30">
        <w:t xml:space="preserve">then </w:t>
      </w:r>
      <w:r w:rsidR="008B082C" w:rsidRPr="00B56B30">
        <w:t xml:space="preserve">transmits </w:t>
      </w:r>
      <w:r w:rsidR="00632833" w:rsidRPr="00B56B30">
        <w:t xml:space="preserve">these </w:t>
      </w:r>
      <w:r w:rsidR="008B082C" w:rsidRPr="00B56B30">
        <w:t xml:space="preserve">to the </w:t>
      </w:r>
      <w:r w:rsidR="00632833" w:rsidRPr="00B56B30">
        <w:t xml:space="preserve">target SN </w:t>
      </w:r>
      <w:r w:rsidR="002818CA" w:rsidRPr="00B56B30">
        <w:t>at the cell change procedure</w:t>
      </w:r>
      <w:r w:rsidR="00B2522E" w:rsidRPr="00B56B30">
        <w:t>.</w:t>
      </w:r>
      <w:r w:rsidR="002818CA" w:rsidRPr="00B56B30">
        <w:t xml:space="preserve"> </w:t>
      </w:r>
      <w:r w:rsidR="007619BE" w:rsidRPr="00B56B30">
        <w:t xml:space="preserve">The alternative where the </w:t>
      </w:r>
      <w:r w:rsidR="006C5B71" w:rsidRPr="00B56B30">
        <w:t xml:space="preserve">UE sends </w:t>
      </w:r>
      <w:r w:rsidR="002818CA" w:rsidRPr="00B56B30">
        <w:t xml:space="preserve">the information about the execution conditions and conditional </w:t>
      </w:r>
      <w:proofErr w:type="spellStart"/>
      <w:r w:rsidR="002818CA" w:rsidRPr="00B56B30">
        <w:rPr>
          <w:i/>
          <w:iCs/>
        </w:rPr>
        <w:t>measConfig</w:t>
      </w:r>
      <w:proofErr w:type="spellEnd"/>
      <w:r w:rsidR="002818CA" w:rsidRPr="00B56B30">
        <w:t xml:space="preserve"> </w:t>
      </w:r>
      <w:r w:rsidR="006C5B71" w:rsidRPr="00B56B30">
        <w:t xml:space="preserve">to the target SN </w:t>
      </w:r>
      <w:r w:rsidR="002818CA" w:rsidRPr="00B56B30">
        <w:t xml:space="preserve">would </w:t>
      </w:r>
      <w:r w:rsidR="006C5B71" w:rsidRPr="00B56B30">
        <w:t>increase the signalling</w:t>
      </w:r>
      <w:r w:rsidR="006646DC" w:rsidRPr="00B56B30">
        <w:t xml:space="preserve"> over the air interface</w:t>
      </w:r>
      <w:r w:rsidR="002818CA" w:rsidRPr="00B56B30">
        <w:t>, which should preferably be avoided</w:t>
      </w:r>
      <w:r w:rsidR="006C5B71" w:rsidRPr="00B56B30">
        <w:t>.</w:t>
      </w:r>
      <w:r w:rsidR="002818CA" w:rsidRPr="00B56B30">
        <w:t xml:space="preserve"> We therefore prefer the solution where the MN provides the stored execution conditions and the related conditional </w:t>
      </w:r>
      <w:proofErr w:type="spellStart"/>
      <w:r w:rsidR="002818CA" w:rsidRPr="00B56B30">
        <w:rPr>
          <w:i/>
          <w:iCs/>
        </w:rPr>
        <w:t>measConfig</w:t>
      </w:r>
      <w:proofErr w:type="spellEnd"/>
      <w:r w:rsidR="002818CA" w:rsidRPr="00B56B30">
        <w:t xml:space="preserve"> to the target SN, together with the </w:t>
      </w:r>
      <w:r w:rsidR="00B56B30" w:rsidRPr="00B56B30">
        <w:t xml:space="preserve">corresponding </w:t>
      </w:r>
      <w:r w:rsidR="002818CA" w:rsidRPr="00B56B30">
        <w:t>SN initiated CPC configurations.</w:t>
      </w:r>
    </w:p>
    <w:p w14:paraId="61342C60" w14:textId="42DE5A3F" w:rsidR="00BD3C10" w:rsidRDefault="00BE636E" w:rsidP="00BD3C10">
      <w:pPr>
        <w:pStyle w:val="Proposal"/>
      </w:pPr>
      <w:bookmarkStart w:id="11" w:name="_Toc127477263"/>
      <w:r>
        <w:t xml:space="preserve">The MN </w:t>
      </w:r>
      <w:r w:rsidR="002818CA">
        <w:t>should</w:t>
      </w:r>
      <w:r w:rsidR="00B56B30">
        <w:t xml:space="preserve">, at </w:t>
      </w:r>
      <w:proofErr w:type="spellStart"/>
      <w:r w:rsidR="00B56B30">
        <w:t>PSCell</w:t>
      </w:r>
      <w:proofErr w:type="spellEnd"/>
      <w:r w:rsidR="00B56B30">
        <w:t xml:space="preserve"> change procedures, </w:t>
      </w:r>
      <w:r>
        <w:t xml:space="preserve">provide the </w:t>
      </w:r>
      <w:r w:rsidR="00BD3C10" w:rsidRPr="00BD3C10">
        <w:t xml:space="preserve">execution conditions and </w:t>
      </w:r>
      <w:r w:rsidR="002818CA">
        <w:t xml:space="preserve">the related </w:t>
      </w:r>
      <w:r w:rsidR="00BD3C10" w:rsidRPr="00BD3C10">
        <w:t xml:space="preserve">conditional </w:t>
      </w:r>
      <w:proofErr w:type="spellStart"/>
      <w:r w:rsidR="00BD3C10" w:rsidRPr="00BD3C10">
        <w:rPr>
          <w:i/>
          <w:iCs/>
        </w:rPr>
        <w:t>measConfig</w:t>
      </w:r>
      <w:proofErr w:type="spellEnd"/>
      <w:r>
        <w:t xml:space="preserve"> </w:t>
      </w:r>
      <w:r w:rsidR="00B56B30">
        <w:t xml:space="preserve">for SN initiated CPC configurations </w:t>
      </w:r>
      <w:r w:rsidR="00CC65CA">
        <w:t xml:space="preserve">to the target SN </w:t>
      </w:r>
      <w:r w:rsidR="00B56B30">
        <w:t xml:space="preserve">(together with </w:t>
      </w:r>
      <w:r w:rsidR="00B56B30" w:rsidRPr="00BE636E">
        <w:t xml:space="preserve">the </w:t>
      </w:r>
      <w:r w:rsidR="00FF37C2">
        <w:t xml:space="preserve">information about </w:t>
      </w:r>
      <w:r w:rsidR="00382623">
        <w:t xml:space="preserve">which </w:t>
      </w:r>
      <w:r w:rsidR="00B56B30" w:rsidRPr="00BE636E">
        <w:t>SN</w:t>
      </w:r>
      <w:r w:rsidR="00B56B30">
        <w:t xml:space="preserve"> </w:t>
      </w:r>
      <w:r w:rsidR="00B56B30" w:rsidRPr="00BE636E">
        <w:t>initiated C</w:t>
      </w:r>
      <w:r w:rsidR="00B56B30">
        <w:t>PC</w:t>
      </w:r>
      <w:r w:rsidR="00B56B30" w:rsidRPr="00BE636E">
        <w:t xml:space="preserve"> configurations</w:t>
      </w:r>
      <w:r w:rsidR="00D46071">
        <w:t xml:space="preserve"> the UE has stored</w:t>
      </w:r>
      <w:r w:rsidR="00B56B30">
        <w:t>)</w:t>
      </w:r>
      <w:r w:rsidR="00BD3C10">
        <w:t>.</w:t>
      </w:r>
      <w:bookmarkEnd w:id="11"/>
    </w:p>
    <w:p w14:paraId="31DA557B" w14:textId="704D3D02" w:rsidR="00A655FC" w:rsidRDefault="00A655FC" w:rsidP="00B93BF6">
      <w:pPr>
        <w:rPr>
          <w:highlight w:val="yellow"/>
        </w:rPr>
      </w:pPr>
    </w:p>
    <w:p w14:paraId="3148D369" w14:textId="66766E51" w:rsidR="007B7514" w:rsidRDefault="007B7514" w:rsidP="007B7514">
      <w:pPr>
        <w:pStyle w:val="Heading2"/>
      </w:pPr>
      <w:r w:rsidRPr="007D4F39">
        <w:t>2.</w:t>
      </w:r>
      <w:r>
        <w:t>3</w:t>
      </w:r>
      <w:r w:rsidRPr="007D4F39">
        <w:tab/>
        <w:t xml:space="preserve">Use cases for Conditional </w:t>
      </w:r>
      <w:proofErr w:type="spellStart"/>
      <w:r w:rsidRPr="007D4F39">
        <w:t>PSCell</w:t>
      </w:r>
      <w:proofErr w:type="spellEnd"/>
      <w:r w:rsidRPr="007D4F39">
        <w:t xml:space="preserve"> Addition</w:t>
      </w:r>
    </w:p>
    <w:p w14:paraId="51E34154" w14:textId="77777777" w:rsidR="007B7514" w:rsidRPr="007D4F39" w:rsidRDefault="007B7514" w:rsidP="007B7514">
      <w:r w:rsidRPr="007D4F39">
        <w:t xml:space="preserve">The following agreement related to Conditional </w:t>
      </w:r>
      <w:proofErr w:type="spellStart"/>
      <w:r w:rsidRPr="007D4F39">
        <w:t>PSCell</w:t>
      </w:r>
      <w:proofErr w:type="spellEnd"/>
      <w:r w:rsidRPr="007D4F39">
        <w:t xml:space="preserve"> Addition (CPA) was reached at the RAN2#119bis-e meeting:</w:t>
      </w:r>
    </w:p>
    <w:p w14:paraId="164E19B8" w14:textId="77777777" w:rsidR="007B7514" w:rsidRPr="005F1473" w:rsidRDefault="007B7514" w:rsidP="007B7514">
      <w:pPr>
        <w:pStyle w:val="Agreement"/>
        <w:tabs>
          <w:tab w:val="clear" w:pos="1494"/>
          <w:tab w:val="num" w:pos="927"/>
        </w:tabs>
        <w:ind w:left="927"/>
        <w:rPr>
          <w:lang w:eastAsia="zh-CN"/>
        </w:rPr>
      </w:pPr>
      <w:r w:rsidRPr="005F1473">
        <w:rPr>
          <w:rFonts w:eastAsia="Times New Roman"/>
          <w:lang w:eastAsia="zh-CN"/>
        </w:rPr>
        <w:t>Confirm that “CPA” selective activation of cell groups will be supported for this WI objective</w:t>
      </w:r>
    </w:p>
    <w:p w14:paraId="4D3D7864" w14:textId="77777777" w:rsidR="007B7514" w:rsidRDefault="007B7514" w:rsidP="007B7514">
      <w:pPr>
        <w:rPr>
          <w:highlight w:val="yellow"/>
        </w:rPr>
      </w:pPr>
    </w:p>
    <w:p w14:paraId="4A407848" w14:textId="77777777" w:rsidR="007B7514" w:rsidRPr="00781045" w:rsidRDefault="007B7514" w:rsidP="007B7514">
      <w:r w:rsidRPr="00781045">
        <w:t xml:space="preserve">According to the agreement at RAN2#119bis-e meeting, it should </w:t>
      </w:r>
      <w:r>
        <w:t xml:space="preserve">thus </w:t>
      </w:r>
      <w:r w:rsidRPr="00781045">
        <w:t xml:space="preserve">be possible for the UE to keep a CPA configuration that it has received. </w:t>
      </w:r>
      <w:r>
        <w:t>It is however not clear what specific u</w:t>
      </w:r>
      <w:r w:rsidRPr="00781045">
        <w:t>se case</w:t>
      </w:r>
      <w:r>
        <w:t>s</w:t>
      </w:r>
      <w:r w:rsidRPr="00781045">
        <w:t xml:space="preserve"> </w:t>
      </w:r>
      <w:r>
        <w:t>that this corresponds to. The following use cases can be foreseen:</w:t>
      </w:r>
    </w:p>
    <w:p w14:paraId="265347D6" w14:textId="77777777" w:rsidR="007B7514" w:rsidRDefault="007B7514" w:rsidP="007B7514">
      <w:pPr>
        <w:pStyle w:val="ListParagraph"/>
        <w:numPr>
          <w:ilvl w:val="0"/>
          <w:numId w:val="19"/>
        </w:numPr>
        <w:rPr>
          <w:rFonts w:ascii="Times New Roman" w:hAnsi="Times New Roman"/>
          <w:sz w:val="20"/>
          <w:szCs w:val="20"/>
          <w:lang w:val="en-US"/>
        </w:rPr>
      </w:pPr>
      <w:r w:rsidRPr="00781045">
        <w:rPr>
          <w:rFonts w:ascii="Times New Roman" w:hAnsi="Times New Roman"/>
          <w:sz w:val="20"/>
          <w:szCs w:val="20"/>
          <w:lang w:val="en-US"/>
        </w:rPr>
        <w:t xml:space="preserve">the UE </w:t>
      </w:r>
      <w:r>
        <w:rPr>
          <w:rFonts w:ascii="Times New Roman" w:hAnsi="Times New Roman"/>
          <w:sz w:val="20"/>
          <w:szCs w:val="20"/>
          <w:lang w:val="en-US"/>
        </w:rPr>
        <w:t xml:space="preserve">keeps a CPA configuration when it </w:t>
      </w:r>
      <w:r w:rsidRPr="00781045">
        <w:rPr>
          <w:rFonts w:ascii="Times New Roman" w:hAnsi="Times New Roman"/>
          <w:sz w:val="20"/>
          <w:szCs w:val="20"/>
          <w:lang w:val="en-US"/>
        </w:rPr>
        <w:t xml:space="preserve">performs </w:t>
      </w:r>
      <w:r>
        <w:rPr>
          <w:rFonts w:ascii="Times New Roman" w:hAnsi="Times New Roman"/>
          <w:sz w:val="20"/>
          <w:szCs w:val="20"/>
          <w:lang w:val="en-US"/>
        </w:rPr>
        <w:t>an MCG mobility procedure (</w:t>
      </w:r>
      <w:proofErr w:type="gramStart"/>
      <w:r>
        <w:rPr>
          <w:rFonts w:ascii="Times New Roman" w:hAnsi="Times New Roman"/>
          <w:sz w:val="20"/>
          <w:szCs w:val="20"/>
          <w:lang w:val="en-US"/>
        </w:rPr>
        <w:t>i.e.</w:t>
      </w:r>
      <w:proofErr w:type="gramEnd"/>
      <w:r>
        <w:rPr>
          <w:rFonts w:ascii="Times New Roman" w:hAnsi="Times New Roman"/>
          <w:sz w:val="20"/>
          <w:szCs w:val="20"/>
          <w:lang w:val="en-US"/>
        </w:rPr>
        <w:t xml:space="preserve"> a </w:t>
      </w:r>
      <w:proofErr w:type="spellStart"/>
      <w:r>
        <w:rPr>
          <w:rFonts w:ascii="Times New Roman" w:hAnsi="Times New Roman"/>
          <w:sz w:val="20"/>
          <w:szCs w:val="20"/>
          <w:lang w:val="en-US"/>
        </w:rPr>
        <w:t>PCell</w:t>
      </w:r>
      <w:proofErr w:type="spellEnd"/>
      <w:r>
        <w:rPr>
          <w:rFonts w:ascii="Times New Roman" w:hAnsi="Times New Roman"/>
          <w:sz w:val="20"/>
          <w:szCs w:val="20"/>
          <w:lang w:val="en-US"/>
        </w:rPr>
        <w:t xml:space="preserve"> handover)</w:t>
      </w:r>
    </w:p>
    <w:p w14:paraId="63F7A2E0" w14:textId="77777777" w:rsidR="007B7514" w:rsidRPr="00781045" w:rsidRDefault="007B7514" w:rsidP="007B7514">
      <w:pPr>
        <w:pStyle w:val="ListParagraph"/>
        <w:numPr>
          <w:ilvl w:val="0"/>
          <w:numId w:val="19"/>
        </w:numPr>
        <w:rPr>
          <w:rFonts w:ascii="Times New Roman" w:hAnsi="Times New Roman"/>
          <w:sz w:val="20"/>
          <w:szCs w:val="20"/>
          <w:lang w:val="en-US"/>
        </w:rPr>
      </w:pPr>
      <w:r>
        <w:rPr>
          <w:rFonts w:ascii="Times New Roman" w:hAnsi="Times New Roman"/>
          <w:sz w:val="20"/>
          <w:szCs w:val="20"/>
          <w:lang w:val="en-US"/>
        </w:rPr>
        <w:t xml:space="preserve">the UE keeps a CPA configuration when a </w:t>
      </w:r>
      <w:proofErr w:type="spellStart"/>
      <w:r>
        <w:rPr>
          <w:rFonts w:ascii="Times New Roman" w:hAnsi="Times New Roman"/>
          <w:sz w:val="20"/>
          <w:szCs w:val="20"/>
          <w:lang w:val="en-US"/>
        </w:rPr>
        <w:t>PSCell</w:t>
      </w:r>
      <w:proofErr w:type="spellEnd"/>
      <w:r>
        <w:rPr>
          <w:rFonts w:ascii="Times New Roman" w:hAnsi="Times New Roman"/>
          <w:sz w:val="20"/>
          <w:szCs w:val="20"/>
          <w:lang w:val="en-US"/>
        </w:rPr>
        <w:t xml:space="preserve">/SCG is setup and then released again. The CPA configuration can then be used for a subsequent </w:t>
      </w:r>
      <w:proofErr w:type="spellStart"/>
      <w:r>
        <w:rPr>
          <w:rFonts w:ascii="Times New Roman" w:hAnsi="Times New Roman"/>
          <w:sz w:val="20"/>
          <w:szCs w:val="20"/>
          <w:lang w:val="en-US"/>
        </w:rPr>
        <w:t>PSCell</w:t>
      </w:r>
      <w:proofErr w:type="spellEnd"/>
      <w:r>
        <w:rPr>
          <w:rFonts w:ascii="Times New Roman" w:hAnsi="Times New Roman"/>
          <w:sz w:val="20"/>
          <w:szCs w:val="20"/>
          <w:lang w:val="en-US"/>
        </w:rPr>
        <w:t xml:space="preserve"> addition.</w:t>
      </w:r>
    </w:p>
    <w:p w14:paraId="2E3045D1" w14:textId="77777777" w:rsidR="007B7514" w:rsidRDefault="007B7514" w:rsidP="007B7514">
      <w:pPr>
        <w:rPr>
          <w:bCs/>
          <w:highlight w:val="yellow"/>
        </w:rPr>
      </w:pPr>
    </w:p>
    <w:p w14:paraId="0CF31F9F" w14:textId="77777777" w:rsidR="007B7514" w:rsidRDefault="007B7514" w:rsidP="007B7514">
      <w:pPr>
        <w:rPr>
          <w:bCs/>
        </w:rPr>
      </w:pPr>
      <w:r w:rsidRPr="007A5D7A">
        <w:rPr>
          <w:bCs/>
        </w:rPr>
        <w:t xml:space="preserve">For the case of </w:t>
      </w:r>
      <w:proofErr w:type="spellStart"/>
      <w:r>
        <w:rPr>
          <w:bCs/>
        </w:rPr>
        <w:t>PCell</w:t>
      </w:r>
      <w:proofErr w:type="spellEnd"/>
      <w:r>
        <w:rPr>
          <w:bCs/>
        </w:rPr>
        <w:t xml:space="preserve"> mobility, whether it is possible to keep the CPA configuration depends on whether the target </w:t>
      </w:r>
      <w:proofErr w:type="spellStart"/>
      <w:r>
        <w:rPr>
          <w:bCs/>
        </w:rPr>
        <w:t>PCell</w:t>
      </w:r>
      <w:proofErr w:type="spellEnd"/>
      <w:r>
        <w:rPr>
          <w:bCs/>
        </w:rPr>
        <w:t xml:space="preserve"> belongs to the same MN as the source </w:t>
      </w:r>
      <w:proofErr w:type="spellStart"/>
      <w:r>
        <w:rPr>
          <w:bCs/>
        </w:rPr>
        <w:t>PCell</w:t>
      </w:r>
      <w:proofErr w:type="spellEnd"/>
      <w:r>
        <w:rPr>
          <w:bCs/>
        </w:rPr>
        <w:t xml:space="preserve">. To prepare a DC operation between the MN and the SN, for configuration of CPA, the SN Addition Request procedure is triggered by the MN towards the candidate SN. In case the UE moves to a new MN the corresponding preparation of DC operation would then not be done between that new MN and the candidate SN (for a CPA configuration that was configured by the source MN). Since the UE does not know when it changes MN, whether to keep or release a stored CPA configuration at </w:t>
      </w:r>
      <w:proofErr w:type="spellStart"/>
      <w:r>
        <w:rPr>
          <w:bCs/>
        </w:rPr>
        <w:t>PCell</w:t>
      </w:r>
      <w:proofErr w:type="spellEnd"/>
      <w:r>
        <w:rPr>
          <w:bCs/>
        </w:rPr>
        <w:t xml:space="preserve"> handover should therefore be indicated to the UE by the network.</w:t>
      </w:r>
    </w:p>
    <w:p w14:paraId="6610CF2E" w14:textId="77777777" w:rsidR="007B7514" w:rsidRDefault="007B7514" w:rsidP="007B7514">
      <w:pPr>
        <w:pStyle w:val="Observation"/>
      </w:pPr>
      <w:bookmarkStart w:id="12" w:name="_Toc127477253"/>
      <w:r>
        <w:t xml:space="preserve">In case of an inter-MN </w:t>
      </w:r>
      <w:proofErr w:type="spellStart"/>
      <w:r>
        <w:t>PCell</w:t>
      </w:r>
      <w:proofErr w:type="spellEnd"/>
      <w:r>
        <w:t xml:space="preserve"> handover, it is not possible to use a CPA configuration that was configured by the source MN.</w:t>
      </w:r>
      <w:bookmarkEnd w:id="12"/>
    </w:p>
    <w:p w14:paraId="2DE90F4C" w14:textId="77777777" w:rsidR="007B7514" w:rsidRDefault="007B7514" w:rsidP="007B7514">
      <w:pPr>
        <w:pStyle w:val="Proposal"/>
      </w:pPr>
      <w:bookmarkStart w:id="13" w:name="_Toc127477264"/>
      <w:r>
        <w:t xml:space="preserve">It should be possible for the network to indicate whether stored CPA configurations should be kept by the UE at a </w:t>
      </w:r>
      <w:proofErr w:type="spellStart"/>
      <w:r>
        <w:t>PCell</w:t>
      </w:r>
      <w:proofErr w:type="spellEnd"/>
      <w:r>
        <w:t xml:space="preserve"> handover</w:t>
      </w:r>
      <w:r w:rsidRPr="001710EA">
        <w:t>.</w:t>
      </w:r>
      <w:bookmarkEnd w:id="13"/>
    </w:p>
    <w:p w14:paraId="60FCAC8D" w14:textId="77777777" w:rsidR="007B7514" w:rsidRPr="007A5D7A" w:rsidRDefault="007B7514" w:rsidP="007B7514">
      <w:pPr>
        <w:rPr>
          <w:bCs/>
        </w:rPr>
      </w:pPr>
    </w:p>
    <w:p w14:paraId="5874842C" w14:textId="77777777" w:rsidR="007B7514" w:rsidRDefault="007B7514" w:rsidP="007B7514">
      <w:pPr>
        <w:rPr>
          <w:bCs/>
        </w:rPr>
      </w:pPr>
      <w:r>
        <w:rPr>
          <w:bCs/>
        </w:rPr>
        <w:t xml:space="preserve">Regarding the reuse of a CPA configuration for a subsequent </w:t>
      </w:r>
      <w:proofErr w:type="spellStart"/>
      <w:r>
        <w:rPr>
          <w:bCs/>
        </w:rPr>
        <w:t>PSCell</w:t>
      </w:r>
      <w:proofErr w:type="spellEnd"/>
      <w:r>
        <w:rPr>
          <w:bCs/>
        </w:rPr>
        <w:t xml:space="preserve"> addition after SCG/</w:t>
      </w:r>
      <w:proofErr w:type="spellStart"/>
      <w:r>
        <w:rPr>
          <w:bCs/>
        </w:rPr>
        <w:t>PSCell</w:t>
      </w:r>
      <w:proofErr w:type="spellEnd"/>
      <w:r>
        <w:rPr>
          <w:bCs/>
        </w:rPr>
        <w:t xml:space="preserve"> release, it should be noted that t</w:t>
      </w:r>
      <w:r w:rsidRPr="00B5283D">
        <w:rPr>
          <w:bCs/>
        </w:rPr>
        <w:t xml:space="preserve">here can be different reasons why </w:t>
      </w:r>
      <w:r>
        <w:rPr>
          <w:bCs/>
        </w:rPr>
        <w:t>the</w:t>
      </w:r>
      <w:r w:rsidRPr="00B5283D">
        <w:rPr>
          <w:bCs/>
        </w:rPr>
        <w:t xml:space="preserve"> SCG</w:t>
      </w:r>
      <w:r>
        <w:rPr>
          <w:bCs/>
        </w:rPr>
        <w:t>/</w:t>
      </w:r>
      <w:proofErr w:type="spellStart"/>
      <w:r>
        <w:rPr>
          <w:bCs/>
        </w:rPr>
        <w:t>PSCell</w:t>
      </w:r>
      <w:proofErr w:type="spellEnd"/>
      <w:r w:rsidRPr="00B5283D">
        <w:rPr>
          <w:bCs/>
        </w:rPr>
        <w:t xml:space="preserve"> is released for a UE. </w:t>
      </w:r>
      <w:r>
        <w:rPr>
          <w:bCs/>
        </w:rPr>
        <w:t xml:space="preserve">In some </w:t>
      </w:r>
      <w:proofErr w:type="gramStart"/>
      <w:r>
        <w:rPr>
          <w:bCs/>
        </w:rPr>
        <w:t>cases</w:t>
      </w:r>
      <w:proofErr w:type="gramEnd"/>
      <w:r>
        <w:rPr>
          <w:bCs/>
        </w:rPr>
        <w:t xml:space="preserve"> </w:t>
      </w:r>
      <w:r w:rsidRPr="00B5283D">
        <w:rPr>
          <w:bCs/>
        </w:rPr>
        <w:t xml:space="preserve">the SCG </w:t>
      </w:r>
      <w:r>
        <w:rPr>
          <w:bCs/>
        </w:rPr>
        <w:t xml:space="preserve">is released due to </w:t>
      </w:r>
      <w:r w:rsidRPr="00B5283D">
        <w:rPr>
          <w:bCs/>
        </w:rPr>
        <w:t xml:space="preserve">that the radio conditions have changed so that the UE is out of coverage for the </w:t>
      </w:r>
      <w:proofErr w:type="spellStart"/>
      <w:r w:rsidRPr="00B5283D">
        <w:rPr>
          <w:bCs/>
        </w:rPr>
        <w:t>PSCell</w:t>
      </w:r>
      <w:proofErr w:type="spellEnd"/>
      <w:r w:rsidRPr="00B5283D">
        <w:rPr>
          <w:bCs/>
        </w:rPr>
        <w:t>(s).</w:t>
      </w:r>
      <w:r>
        <w:rPr>
          <w:bCs/>
        </w:rPr>
        <w:t xml:space="preserve"> In that case, it may be desirable that a </w:t>
      </w:r>
      <w:proofErr w:type="spellStart"/>
      <w:r>
        <w:rPr>
          <w:bCs/>
        </w:rPr>
        <w:t>PSCell</w:t>
      </w:r>
      <w:proofErr w:type="spellEnd"/>
      <w:r>
        <w:rPr>
          <w:bCs/>
        </w:rPr>
        <w:t xml:space="preserve"> is added as soon as the UE </w:t>
      </w:r>
      <w:proofErr w:type="gramStart"/>
      <w:r>
        <w:rPr>
          <w:bCs/>
        </w:rPr>
        <w:t>enters into</w:t>
      </w:r>
      <w:proofErr w:type="gramEnd"/>
      <w:r>
        <w:rPr>
          <w:bCs/>
        </w:rPr>
        <w:t xml:space="preserve"> coverage and that the UE thus would be configured with CPA directly after the SCG/</w:t>
      </w:r>
      <w:proofErr w:type="spellStart"/>
      <w:r>
        <w:rPr>
          <w:bCs/>
        </w:rPr>
        <w:t>PSCell</w:t>
      </w:r>
      <w:proofErr w:type="spellEnd"/>
      <w:r>
        <w:rPr>
          <w:bCs/>
        </w:rPr>
        <w:t xml:space="preserve"> release. However, the </w:t>
      </w:r>
      <w:r w:rsidRPr="00B5283D">
        <w:rPr>
          <w:bCs/>
        </w:rPr>
        <w:t>typical reason to release the SCG/</w:t>
      </w:r>
      <w:proofErr w:type="spellStart"/>
      <w:r w:rsidRPr="00B5283D">
        <w:rPr>
          <w:bCs/>
        </w:rPr>
        <w:t>PSCell</w:t>
      </w:r>
      <w:proofErr w:type="spellEnd"/>
      <w:r w:rsidRPr="00B5283D">
        <w:rPr>
          <w:bCs/>
        </w:rPr>
        <w:t xml:space="preserve"> is that the amount of data is not enough to make use of the SCG. In </w:t>
      </w:r>
      <w:r>
        <w:rPr>
          <w:bCs/>
        </w:rPr>
        <w:t xml:space="preserve">that </w:t>
      </w:r>
      <w:r w:rsidRPr="00B5283D">
        <w:rPr>
          <w:bCs/>
        </w:rPr>
        <w:t>case</w:t>
      </w:r>
      <w:r>
        <w:rPr>
          <w:bCs/>
        </w:rPr>
        <w:t>,</w:t>
      </w:r>
      <w:r w:rsidRPr="00B5283D">
        <w:rPr>
          <w:bCs/>
        </w:rPr>
        <w:t xml:space="preserve"> </w:t>
      </w:r>
      <w:r>
        <w:rPr>
          <w:bCs/>
        </w:rPr>
        <w:t xml:space="preserve">if the </w:t>
      </w:r>
      <w:r w:rsidRPr="00B5283D">
        <w:rPr>
          <w:bCs/>
        </w:rPr>
        <w:t xml:space="preserve">CPA configurations are kept by the UE when the SCG is released </w:t>
      </w:r>
      <w:r>
        <w:rPr>
          <w:bCs/>
        </w:rPr>
        <w:t xml:space="preserve">and </w:t>
      </w:r>
      <w:r w:rsidRPr="00B5283D">
        <w:rPr>
          <w:bCs/>
        </w:rPr>
        <w:t xml:space="preserve">the UE </w:t>
      </w:r>
      <w:r>
        <w:rPr>
          <w:bCs/>
        </w:rPr>
        <w:t xml:space="preserve">then </w:t>
      </w:r>
      <w:r w:rsidRPr="00B5283D">
        <w:rPr>
          <w:bCs/>
        </w:rPr>
        <w:t>start</w:t>
      </w:r>
      <w:r>
        <w:rPr>
          <w:bCs/>
        </w:rPr>
        <w:t>s</w:t>
      </w:r>
      <w:r w:rsidRPr="00B5283D">
        <w:rPr>
          <w:bCs/>
        </w:rPr>
        <w:t xml:space="preserve"> evaluation of </w:t>
      </w:r>
      <w:r>
        <w:rPr>
          <w:bCs/>
        </w:rPr>
        <w:t xml:space="preserve">the </w:t>
      </w:r>
      <w:r w:rsidRPr="00B5283D">
        <w:rPr>
          <w:bCs/>
        </w:rPr>
        <w:t>CPA configuration</w:t>
      </w:r>
      <w:r>
        <w:rPr>
          <w:bCs/>
        </w:rPr>
        <w:t xml:space="preserve">s, it would lead to undesired CPA executions and </w:t>
      </w:r>
      <w:r>
        <w:rPr>
          <w:bCs/>
        </w:rPr>
        <w:lastRenderedPageBreak/>
        <w:t xml:space="preserve">thus </w:t>
      </w:r>
      <w:proofErr w:type="spellStart"/>
      <w:r>
        <w:rPr>
          <w:bCs/>
        </w:rPr>
        <w:t>PSCell</w:t>
      </w:r>
      <w:proofErr w:type="spellEnd"/>
      <w:r>
        <w:rPr>
          <w:bCs/>
        </w:rPr>
        <w:t xml:space="preserve"> additions</w:t>
      </w:r>
      <w:r w:rsidRPr="00B5283D">
        <w:rPr>
          <w:bCs/>
        </w:rPr>
        <w:t>.</w:t>
      </w:r>
      <w:r>
        <w:rPr>
          <w:bCs/>
        </w:rPr>
        <w:t xml:space="preserve"> For this use case there is therefore a need to enable that the CPA configurations can be released when the SCG is released, </w:t>
      </w:r>
      <w:proofErr w:type="gramStart"/>
      <w:r>
        <w:rPr>
          <w:bCs/>
        </w:rPr>
        <w:t>e.g.</w:t>
      </w:r>
      <w:proofErr w:type="gramEnd"/>
      <w:r>
        <w:rPr>
          <w:bCs/>
        </w:rPr>
        <w:t xml:space="preserve"> through an indication from the network at the SCG release.</w:t>
      </w:r>
    </w:p>
    <w:p w14:paraId="08FF7BDB" w14:textId="77777777" w:rsidR="007B7514" w:rsidRDefault="007B7514" w:rsidP="007B7514">
      <w:pPr>
        <w:rPr>
          <w:bCs/>
        </w:rPr>
      </w:pPr>
      <w:r>
        <w:rPr>
          <w:bCs/>
        </w:rPr>
        <w:t xml:space="preserve">The CPA configurations could however still be useful later on, </w:t>
      </w:r>
      <w:proofErr w:type="gramStart"/>
      <w:r>
        <w:rPr>
          <w:bCs/>
        </w:rPr>
        <w:t>e.g.</w:t>
      </w:r>
      <w:proofErr w:type="gramEnd"/>
      <w:r>
        <w:rPr>
          <w:bCs/>
        </w:rPr>
        <w:t xml:space="preserve"> in case the amount of data increases so that there is a need to configure an SCG again. To allow this, without reconfiguring CPA, it should therefore be possible for the UE to keep the CPA configurations after the SCG/</w:t>
      </w:r>
      <w:proofErr w:type="spellStart"/>
      <w:r>
        <w:rPr>
          <w:bCs/>
        </w:rPr>
        <w:t>PSCell</w:t>
      </w:r>
      <w:proofErr w:type="spellEnd"/>
      <w:r>
        <w:rPr>
          <w:bCs/>
        </w:rPr>
        <w:t xml:space="preserve"> is released but to not consider them as applicable, </w:t>
      </w:r>
      <w:proofErr w:type="gramStart"/>
      <w:r>
        <w:rPr>
          <w:bCs/>
        </w:rPr>
        <w:t>i.e.</w:t>
      </w:r>
      <w:proofErr w:type="gramEnd"/>
      <w:r>
        <w:rPr>
          <w:bCs/>
        </w:rPr>
        <w:t xml:space="preserve"> that they are not evaluated or at least not executed by the UE. The network should then indicate to the UE when the CPA configurations should be considered as applicable again, </w:t>
      </w:r>
      <w:proofErr w:type="gramStart"/>
      <w:r>
        <w:rPr>
          <w:bCs/>
        </w:rPr>
        <w:t>i.e.</w:t>
      </w:r>
      <w:proofErr w:type="gramEnd"/>
      <w:r>
        <w:rPr>
          <w:bCs/>
        </w:rPr>
        <w:t xml:space="preserve"> when there is a need for the SCG.</w:t>
      </w:r>
    </w:p>
    <w:p w14:paraId="30D2E266" w14:textId="77777777" w:rsidR="007B7514" w:rsidRDefault="007B7514" w:rsidP="007B7514">
      <w:pPr>
        <w:pStyle w:val="Observation"/>
      </w:pPr>
      <w:bookmarkStart w:id="14" w:name="_Toc127477254"/>
      <w:r>
        <w:t>If the UE evaluates/executes a stored CPA configuration directly after a normal SCG/</w:t>
      </w:r>
      <w:proofErr w:type="spellStart"/>
      <w:r>
        <w:t>PSCell</w:t>
      </w:r>
      <w:proofErr w:type="spellEnd"/>
      <w:r>
        <w:t xml:space="preserve"> release it will trigger undesired </w:t>
      </w:r>
      <w:proofErr w:type="spellStart"/>
      <w:r>
        <w:t>PSCell</w:t>
      </w:r>
      <w:proofErr w:type="spellEnd"/>
      <w:r>
        <w:t xml:space="preserve"> additions.</w:t>
      </w:r>
      <w:bookmarkEnd w:id="14"/>
    </w:p>
    <w:p w14:paraId="25442C56" w14:textId="77777777" w:rsidR="007B7514" w:rsidRDefault="007B7514" w:rsidP="007B7514">
      <w:pPr>
        <w:pStyle w:val="Proposal"/>
      </w:pPr>
      <w:bookmarkStart w:id="15" w:name="_Toc127477265"/>
      <w:r>
        <w:t xml:space="preserve">It should be possible for the network to indicate whether a stored CPA configurations should be kept by the UE at SCG setup and at SCG release, and whether a kept CPA configuration then should be considered as applicable or not, </w:t>
      </w:r>
      <w:proofErr w:type="gramStart"/>
      <w:r>
        <w:t>i.e.</w:t>
      </w:r>
      <w:proofErr w:type="gramEnd"/>
      <w:r>
        <w:t xml:space="preserve"> whether the UE should evaluate the CPA configuration and execute it if the conditions are fulfilled.</w:t>
      </w:r>
      <w:bookmarkEnd w:id="15"/>
    </w:p>
    <w:p w14:paraId="69A96AD2" w14:textId="0545AED8" w:rsidR="0042595C" w:rsidRDefault="0042595C" w:rsidP="003D1417"/>
    <w:p w14:paraId="120B430C" w14:textId="42D258C1" w:rsidR="00796FFD" w:rsidRDefault="00796FFD" w:rsidP="00796FFD">
      <w:pPr>
        <w:pStyle w:val="Heading2"/>
      </w:pPr>
      <w:r>
        <w:t>2.</w:t>
      </w:r>
      <w:r w:rsidR="007B7514">
        <w:t>4</w:t>
      </w:r>
      <w:r>
        <w:tab/>
        <w:t>Supported types of CPC configurations</w:t>
      </w:r>
    </w:p>
    <w:p w14:paraId="5517D7F5" w14:textId="052FC169" w:rsidR="00796FFD" w:rsidRPr="00787B0E" w:rsidRDefault="00796FFD" w:rsidP="00796FFD">
      <w:r>
        <w:t>There are t</w:t>
      </w:r>
      <w:r w:rsidRPr="00787B0E">
        <w:t xml:space="preserve">hree different types of CPC configurations </w:t>
      </w:r>
      <w:r>
        <w:t xml:space="preserve">that </w:t>
      </w:r>
      <w:r w:rsidRPr="00787B0E">
        <w:t>have been specified</w:t>
      </w:r>
      <w:r>
        <w:t xml:space="preserve"> in </w:t>
      </w:r>
      <w:r w:rsidR="0045106C">
        <w:t>R</w:t>
      </w:r>
      <w:r>
        <w:t xml:space="preserve">el-16 and </w:t>
      </w:r>
      <w:r w:rsidR="0045106C">
        <w:t>R</w:t>
      </w:r>
      <w:r>
        <w:t>el-17</w:t>
      </w:r>
      <w:r w:rsidRPr="00787B0E">
        <w:t>:</w:t>
      </w:r>
    </w:p>
    <w:p w14:paraId="0EC4BF7A" w14:textId="77777777" w:rsidR="00796FFD" w:rsidRPr="00787B0E" w:rsidRDefault="00796FFD" w:rsidP="00051A25">
      <w:pPr>
        <w:pStyle w:val="ListParagraph"/>
        <w:numPr>
          <w:ilvl w:val="0"/>
          <w:numId w:val="15"/>
        </w:numPr>
        <w:rPr>
          <w:rFonts w:ascii="Times New Roman" w:hAnsi="Times New Roman"/>
          <w:sz w:val="20"/>
          <w:szCs w:val="20"/>
        </w:rPr>
      </w:pPr>
      <w:r w:rsidRPr="00787B0E">
        <w:rPr>
          <w:rFonts w:ascii="Times New Roman" w:hAnsi="Times New Roman"/>
          <w:sz w:val="20"/>
          <w:szCs w:val="20"/>
        </w:rPr>
        <w:t>Rel-16 intra-SN CPC (without MN involvement)</w:t>
      </w:r>
    </w:p>
    <w:p w14:paraId="2CF26D42" w14:textId="77777777" w:rsidR="00796FFD" w:rsidRPr="00787B0E" w:rsidRDefault="00796FFD" w:rsidP="00051A25">
      <w:pPr>
        <w:pStyle w:val="ListParagraph"/>
        <w:numPr>
          <w:ilvl w:val="0"/>
          <w:numId w:val="15"/>
        </w:numPr>
        <w:rPr>
          <w:rFonts w:ascii="Times New Roman" w:hAnsi="Times New Roman"/>
          <w:sz w:val="20"/>
          <w:szCs w:val="20"/>
        </w:rPr>
      </w:pPr>
      <w:r w:rsidRPr="00787B0E">
        <w:rPr>
          <w:rFonts w:ascii="Times New Roman" w:hAnsi="Times New Roman"/>
          <w:sz w:val="20"/>
          <w:szCs w:val="20"/>
        </w:rPr>
        <w:t>Rel-17 SN</w:t>
      </w:r>
      <w:r>
        <w:rPr>
          <w:rFonts w:ascii="Times New Roman" w:hAnsi="Times New Roman"/>
          <w:sz w:val="20"/>
          <w:szCs w:val="20"/>
          <w:lang w:val="en-US"/>
        </w:rPr>
        <w:t xml:space="preserve"> </w:t>
      </w:r>
      <w:r w:rsidRPr="00787B0E">
        <w:rPr>
          <w:rFonts w:ascii="Times New Roman" w:hAnsi="Times New Roman"/>
          <w:sz w:val="20"/>
          <w:szCs w:val="20"/>
        </w:rPr>
        <w:t>initiated inter-SN CPC</w:t>
      </w:r>
    </w:p>
    <w:p w14:paraId="6B5650D2" w14:textId="77777777" w:rsidR="00796FFD" w:rsidRPr="00787B0E" w:rsidRDefault="00796FFD" w:rsidP="00051A25">
      <w:pPr>
        <w:pStyle w:val="ListParagraph"/>
        <w:numPr>
          <w:ilvl w:val="0"/>
          <w:numId w:val="15"/>
        </w:numPr>
        <w:rPr>
          <w:rFonts w:ascii="Times New Roman" w:hAnsi="Times New Roman"/>
          <w:sz w:val="20"/>
          <w:szCs w:val="20"/>
        </w:rPr>
      </w:pPr>
      <w:r w:rsidRPr="00787B0E">
        <w:rPr>
          <w:rFonts w:ascii="Times New Roman" w:hAnsi="Times New Roman"/>
          <w:sz w:val="20"/>
          <w:szCs w:val="20"/>
        </w:rPr>
        <w:t>Rel-17 MN</w:t>
      </w:r>
      <w:r>
        <w:rPr>
          <w:rFonts w:ascii="Times New Roman" w:hAnsi="Times New Roman"/>
          <w:sz w:val="20"/>
          <w:szCs w:val="20"/>
          <w:lang w:val="en-US"/>
        </w:rPr>
        <w:t xml:space="preserve"> </w:t>
      </w:r>
      <w:r w:rsidRPr="00787B0E">
        <w:rPr>
          <w:rFonts w:ascii="Times New Roman" w:hAnsi="Times New Roman"/>
          <w:sz w:val="20"/>
          <w:szCs w:val="20"/>
        </w:rPr>
        <w:t>initiated inter-SN CPC</w:t>
      </w:r>
    </w:p>
    <w:p w14:paraId="69676BF1" w14:textId="77777777" w:rsidR="00796FFD" w:rsidRDefault="00796FFD" w:rsidP="00796FFD">
      <w:pPr>
        <w:rPr>
          <w:highlight w:val="yellow"/>
        </w:rPr>
      </w:pPr>
    </w:p>
    <w:p w14:paraId="3FA4ECDE" w14:textId="423FABBA" w:rsidR="00796FFD" w:rsidRPr="004F2110" w:rsidRDefault="005C1141" w:rsidP="00796FFD">
      <w:r>
        <w:t xml:space="preserve">At the RAN3#117bis-e meeting </w:t>
      </w:r>
      <w:r w:rsidR="00796FFD">
        <w:t xml:space="preserve">RAN3 </w:t>
      </w:r>
      <w:r>
        <w:t xml:space="preserve">has taken an agreement </w:t>
      </w:r>
      <w:r w:rsidR="00796FFD">
        <w:t xml:space="preserve">that </w:t>
      </w:r>
      <w:r w:rsidR="00796FFD" w:rsidRPr="002C0C34">
        <w:t xml:space="preserve">Inter-CU and Intra-CU cases </w:t>
      </w:r>
      <w:r w:rsidR="00796FFD">
        <w:t xml:space="preserve">should be considered </w:t>
      </w:r>
      <w:r w:rsidR="00796FFD" w:rsidRPr="002C0C34">
        <w:t>with equal priorit</w:t>
      </w:r>
      <w:r w:rsidR="00796FFD">
        <w:t>y</w:t>
      </w:r>
      <w:r w:rsidR="00B05E64">
        <w:t xml:space="preserve"> (with a possibility to revisit based on RAN2 progress)</w:t>
      </w:r>
      <w:r w:rsidR="00796FFD">
        <w:t xml:space="preserve">. </w:t>
      </w:r>
      <w:r>
        <w:t xml:space="preserve">We see </w:t>
      </w:r>
      <w:r w:rsidR="00796FFD">
        <w:t xml:space="preserve">no </w:t>
      </w:r>
      <w:r>
        <w:t xml:space="preserve">specific </w:t>
      </w:r>
      <w:r w:rsidR="00796FFD">
        <w:t xml:space="preserve">reason to change the RAN3 </w:t>
      </w:r>
      <w:r w:rsidR="00685BC7">
        <w:t>agreement</w:t>
      </w:r>
      <w:r w:rsidR="00796FFD">
        <w:t xml:space="preserve"> from a RAN2 point of view and we thus </w:t>
      </w:r>
      <w:r w:rsidR="00796FFD" w:rsidRPr="004F2110">
        <w:t xml:space="preserve">think that both intra-SN and inter-SN Conditional </w:t>
      </w:r>
      <w:proofErr w:type="spellStart"/>
      <w:r w:rsidR="00796FFD" w:rsidRPr="004F2110">
        <w:t>PSCell</w:t>
      </w:r>
      <w:proofErr w:type="spellEnd"/>
      <w:r w:rsidR="00796FFD" w:rsidRPr="004F2110">
        <w:t xml:space="preserve"> Changes should be targeted in the </w:t>
      </w:r>
      <w:r w:rsidR="0045106C">
        <w:t>R</w:t>
      </w:r>
      <w:r w:rsidR="00796FFD" w:rsidRPr="004F2110">
        <w:t>el-18 work</w:t>
      </w:r>
      <w:r w:rsidR="006957A1">
        <w:t xml:space="preserve"> on NR-DC with selective activation</w:t>
      </w:r>
      <w:r w:rsidR="00796FFD" w:rsidRPr="004F2110">
        <w:t>.</w:t>
      </w:r>
      <w:r w:rsidR="00CA59DD" w:rsidDel="00CA59DD">
        <w:t xml:space="preserve"> </w:t>
      </w:r>
    </w:p>
    <w:p w14:paraId="351FE534" w14:textId="7C3D8504" w:rsidR="00796FFD" w:rsidRDefault="00796FFD" w:rsidP="00796FFD">
      <w:r>
        <w:t xml:space="preserve">For </w:t>
      </w:r>
      <w:proofErr w:type="spellStart"/>
      <w:r>
        <w:t>PSCell</w:t>
      </w:r>
      <w:proofErr w:type="spellEnd"/>
      <w:r>
        <w:t xml:space="preserve"> mobility it </w:t>
      </w:r>
      <w:r w:rsidR="00B05E64">
        <w:t xml:space="preserve">is </w:t>
      </w:r>
      <w:r>
        <w:t xml:space="preserve">the SN </w:t>
      </w:r>
      <w:r w:rsidR="005C1141">
        <w:t xml:space="preserve">that </w:t>
      </w:r>
      <w:r w:rsidR="00B05E64">
        <w:t xml:space="preserve">should be </w:t>
      </w:r>
      <w:r>
        <w:t xml:space="preserve">in control. The SN should be in control of its own resources and there is </w:t>
      </w:r>
      <w:proofErr w:type="gramStart"/>
      <w:r>
        <w:t>e.g.</w:t>
      </w:r>
      <w:proofErr w:type="gramEnd"/>
      <w:r>
        <w:t xml:space="preserve"> only the SN initiated procedure for intra-SN CPC (from </w:t>
      </w:r>
      <w:r w:rsidR="0045106C">
        <w:t>R</w:t>
      </w:r>
      <w:r>
        <w:t>el-16). Th</w:t>
      </w:r>
      <w:r w:rsidR="005C1141">
        <w:t>is should then b</w:t>
      </w:r>
      <w:r>
        <w:t xml:space="preserve">e </w:t>
      </w:r>
      <w:r w:rsidR="005C1141">
        <w:t xml:space="preserve">the case </w:t>
      </w:r>
      <w:r>
        <w:t xml:space="preserve">also </w:t>
      </w:r>
      <w:r w:rsidR="005C1141">
        <w:t xml:space="preserve">for </w:t>
      </w:r>
      <w:r>
        <w:t xml:space="preserve">inter-SN </w:t>
      </w:r>
      <w:proofErr w:type="spellStart"/>
      <w:r>
        <w:t>PSCell</w:t>
      </w:r>
      <w:proofErr w:type="spellEnd"/>
      <w:r>
        <w:t xml:space="preserve"> changes. </w:t>
      </w:r>
      <w:r w:rsidR="005C1141">
        <w:t xml:space="preserve">The </w:t>
      </w:r>
      <w:r>
        <w:t xml:space="preserve">SN initiated CPC should therefore be supported in the </w:t>
      </w:r>
      <w:r w:rsidR="0045106C">
        <w:t>R</w:t>
      </w:r>
      <w:r>
        <w:t>el-18 solution for NR-DC with selective activation.</w:t>
      </w:r>
    </w:p>
    <w:p w14:paraId="23A8CC97" w14:textId="5405E6AF" w:rsidR="00796FFD" w:rsidRPr="004F2110" w:rsidRDefault="00B05E64" w:rsidP="00796FFD">
      <w:r>
        <w:t>In addition, t</w:t>
      </w:r>
      <w:r w:rsidR="00796FFD" w:rsidRPr="004F2110">
        <w:t>he MN</w:t>
      </w:r>
      <w:r w:rsidR="00796FFD">
        <w:t xml:space="preserve"> </w:t>
      </w:r>
      <w:r w:rsidR="00796FFD" w:rsidRPr="004F2110">
        <w:t xml:space="preserve">initiated inter-SN CPC </w:t>
      </w:r>
      <w:r w:rsidR="00796FFD">
        <w:t xml:space="preserve">today </w:t>
      </w:r>
      <w:r w:rsidR="00796FFD" w:rsidRPr="004F2110">
        <w:t>suffers from that</w:t>
      </w:r>
      <w:r w:rsidR="00796FFD">
        <w:t>,</w:t>
      </w:r>
      <w:r w:rsidR="00796FFD" w:rsidRPr="004F2110">
        <w:t xml:space="preserve"> </w:t>
      </w:r>
      <w:r w:rsidR="00796FFD">
        <w:t xml:space="preserve">when MCG measurement configuration is used, </w:t>
      </w:r>
      <w:r w:rsidR="00796FFD" w:rsidRPr="004F2110">
        <w:t xml:space="preserve">the events (execution conditions) that compare the candidate target cell with the source cell (A3/A5) </w:t>
      </w:r>
      <w:r>
        <w:t xml:space="preserve">then </w:t>
      </w:r>
      <w:r w:rsidR="00796FFD" w:rsidRPr="004F2110">
        <w:t xml:space="preserve">compare the candidate target </w:t>
      </w:r>
      <w:proofErr w:type="spellStart"/>
      <w:r w:rsidR="00796FFD" w:rsidRPr="004F2110">
        <w:t>PSCell</w:t>
      </w:r>
      <w:proofErr w:type="spellEnd"/>
      <w:r w:rsidR="00796FFD" w:rsidRPr="004F2110">
        <w:t xml:space="preserve"> with the current </w:t>
      </w:r>
      <w:proofErr w:type="spellStart"/>
      <w:r w:rsidR="00796FFD" w:rsidRPr="004F2110">
        <w:rPr>
          <w:b/>
          <w:bCs/>
        </w:rPr>
        <w:t>PCell</w:t>
      </w:r>
      <w:proofErr w:type="spellEnd"/>
      <w:r w:rsidR="00796FFD" w:rsidRPr="004F2110">
        <w:t xml:space="preserve"> (</w:t>
      </w:r>
      <w:proofErr w:type="gramStart"/>
      <w:r w:rsidR="00796FFD" w:rsidRPr="004F2110">
        <w:t>i.e.</w:t>
      </w:r>
      <w:proofErr w:type="gramEnd"/>
      <w:r w:rsidR="00796FFD" w:rsidRPr="004F2110">
        <w:t xml:space="preserve"> not with the current </w:t>
      </w:r>
      <w:proofErr w:type="spellStart"/>
      <w:r w:rsidR="00796FFD" w:rsidRPr="004F2110">
        <w:rPr>
          <w:b/>
          <w:bCs/>
        </w:rPr>
        <w:t>PSCell</w:t>
      </w:r>
      <w:proofErr w:type="spellEnd"/>
      <w:r w:rsidR="00796FFD" w:rsidRPr="004F2110">
        <w:t>)</w:t>
      </w:r>
      <w:r w:rsidR="00796FFD">
        <w:t>.</w:t>
      </w:r>
      <w:r w:rsidR="00796FFD" w:rsidRPr="004F2110">
        <w:t xml:space="preserve"> </w:t>
      </w:r>
      <w:r w:rsidR="00796FFD">
        <w:t xml:space="preserve">These events are </w:t>
      </w:r>
      <w:r w:rsidR="00796FFD" w:rsidRPr="004F2110">
        <w:t>thus not useful</w:t>
      </w:r>
      <w:r w:rsidR="00796FFD">
        <w:t xml:space="preserve"> for MN initiated inter-SN CPC</w:t>
      </w:r>
      <w:r w:rsidR="009152C0">
        <w:t xml:space="preserve"> </w:t>
      </w:r>
      <w:r w:rsidR="00A1645F">
        <w:t xml:space="preserve">since </w:t>
      </w:r>
      <w:r w:rsidR="009152C0">
        <w:t xml:space="preserve">the target </w:t>
      </w:r>
      <w:proofErr w:type="spellStart"/>
      <w:r w:rsidR="009152C0">
        <w:t>PSCell</w:t>
      </w:r>
      <w:proofErr w:type="spellEnd"/>
      <w:r w:rsidR="009152C0">
        <w:t xml:space="preserve"> </w:t>
      </w:r>
      <w:r w:rsidR="00A1645F">
        <w:t xml:space="preserve">then </w:t>
      </w:r>
      <w:r w:rsidR="009152C0">
        <w:t xml:space="preserve">should be compared with the source </w:t>
      </w:r>
      <w:proofErr w:type="spellStart"/>
      <w:r w:rsidR="009152C0">
        <w:t>PSCell</w:t>
      </w:r>
      <w:proofErr w:type="spellEnd"/>
      <w:r w:rsidR="00796FFD" w:rsidRPr="004F2110">
        <w:t xml:space="preserve">. The A4 event does not have this issue since it only looks at the candidate target </w:t>
      </w:r>
      <w:proofErr w:type="spellStart"/>
      <w:r w:rsidR="00796FFD" w:rsidRPr="004F2110">
        <w:t>PSCell</w:t>
      </w:r>
      <w:proofErr w:type="spellEnd"/>
      <w:r w:rsidR="00796FFD" w:rsidRPr="004F2110">
        <w:t xml:space="preserve">, but it is then </w:t>
      </w:r>
      <w:r w:rsidR="00796FFD">
        <w:t xml:space="preserve">not </w:t>
      </w:r>
      <w:r w:rsidR="00796FFD" w:rsidRPr="004F2110">
        <w:t xml:space="preserve">useful for </w:t>
      </w:r>
      <w:r w:rsidR="00796FFD">
        <w:t>mobility use cases</w:t>
      </w:r>
      <w:r w:rsidR="005C1141">
        <w:t>, which is targeted with CPC</w:t>
      </w:r>
      <w:r w:rsidR="00796FFD" w:rsidRPr="004F2110">
        <w:t xml:space="preserve">. The issue with A3/A5 events </w:t>
      </w:r>
      <w:r w:rsidR="00796FFD">
        <w:t xml:space="preserve">thus means that </w:t>
      </w:r>
      <w:r w:rsidR="00796FFD" w:rsidRPr="004F2110">
        <w:t xml:space="preserve">the </w:t>
      </w:r>
      <w:r w:rsidR="0045106C">
        <w:t>R</w:t>
      </w:r>
      <w:r w:rsidR="00796FFD" w:rsidRPr="004F2110">
        <w:t>el-17 MN</w:t>
      </w:r>
      <w:r w:rsidR="00796FFD">
        <w:t xml:space="preserve"> </w:t>
      </w:r>
      <w:r w:rsidR="00796FFD" w:rsidRPr="004F2110">
        <w:t xml:space="preserve">initiated CPC solution </w:t>
      </w:r>
      <w:r w:rsidR="00796FFD">
        <w:t xml:space="preserve">is </w:t>
      </w:r>
      <w:r w:rsidR="00796FFD" w:rsidRPr="004F2110">
        <w:t>not useful</w:t>
      </w:r>
      <w:r w:rsidR="00796FFD">
        <w:t xml:space="preserve"> as </w:t>
      </w:r>
      <w:proofErr w:type="gramStart"/>
      <w:r w:rsidR="00796FFD">
        <w:t>such</w:t>
      </w:r>
      <w:proofErr w:type="gramEnd"/>
      <w:r w:rsidR="001910C1">
        <w:t xml:space="preserve"> and</w:t>
      </w:r>
      <w:r w:rsidR="00796FFD" w:rsidRPr="004F2110">
        <w:t xml:space="preserve"> </w:t>
      </w:r>
      <w:r w:rsidR="001910C1">
        <w:t>w</w:t>
      </w:r>
      <w:r w:rsidR="00796FFD" w:rsidRPr="004F2110">
        <w:t xml:space="preserve">e therefore think that this issue </w:t>
      </w:r>
      <w:r w:rsidR="001910C1">
        <w:t xml:space="preserve">needs to </w:t>
      </w:r>
      <w:r w:rsidR="00796FFD" w:rsidRPr="004F2110">
        <w:t xml:space="preserve">be corrected </w:t>
      </w:r>
      <w:r w:rsidR="001910C1">
        <w:t>(</w:t>
      </w:r>
      <w:r w:rsidR="00796FFD" w:rsidRPr="004F2110">
        <w:t xml:space="preserve">in </w:t>
      </w:r>
      <w:r w:rsidR="0045106C">
        <w:t>R</w:t>
      </w:r>
      <w:r w:rsidR="00796FFD" w:rsidRPr="004F2110">
        <w:t>el-18</w:t>
      </w:r>
      <w:r w:rsidR="001910C1">
        <w:t>)</w:t>
      </w:r>
      <w:r w:rsidR="00796FFD" w:rsidRPr="004F2110">
        <w:t xml:space="preserve"> in case we should </w:t>
      </w:r>
      <w:r w:rsidR="00A1645F">
        <w:t>support</w:t>
      </w:r>
      <w:r w:rsidR="00A1645F" w:rsidRPr="004F2110">
        <w:t xml:space="preserve"> </w:t>
      </w:r>
      <w:r w:rsidR="00796FFD" w:rsidRPr="004F2110">
        <w:t>MN</w:t>
      </w:r>
      <w:r w:rsidR="00796FFD">
        <w:t xml:space="preserve"> </w:t>
      </w:r>
      <w:r w:rsidR="00796FFD" w:rsidRPr="004F2110">
        <w:t xml:space="preserve">initiated CPC </w:t>
      </w:r>
      <w:r w:rsidR="00A1645F">
        <w:t xml:space="preserve">for NR-DC with selective activation </w:t>
      </w:r>
      <w:r w:rsidR="00796FFD" w:rsidRPr="004F2110">
        <w:t xml:space="preserve">in </w:t>
      </w:r>
      <w:r w:rsidR="0045106C">
        <w:t>R</w:t>
      </w:r>
      <w:r w:rsidR="00796FFD" w:rsidRPr="004F2110">
        <w:t>el-18.</w:t>
      </w:r>
    </w:p>
    <w:p w14:paraId="1DBD8863" w14:textId="2776FA87" w:rsidR="00796FFD" w:rsidRDefault="00796FFD" w:rsidP="00796FFD">
      <w:pPr>
        <w:pStyle w:val="Proposal"/>
      </w:pPr>
      <w:bookmarkStart w:id="16" w:name="_Toc127477266"/>
      <w:r>
        <w:t>B</w:t>
      </w:r>
      <w:r w:rsidRPr="004F2110">
        <w:t xml:space="preserve">oth intra-SN and inter-SN Conditional </w:t>
      </w:r>
      <w:proofErr w:type="spellStart"/>
      <w:r w:rsidRPr="004F2110">
        <w:t>PSCell</w:t>
      </w:r>
      <w:proofErr w:type="spellEnd"/>
      <w:r w:rsidRPr="004F2110">
        <w:t xml:space="preserve"> Changes should be targeted in the </w:t>
      </w:r>
      <w:r w:rsidR="0045106C">
        <w:t>R</w:t>
      </w:r>
      <w:r w:rsidRPr="004F2110">
        <w:t>el-18 work</w:t>
      </w:r>
      <w:r>
        <w:t>.</w:t>
      </w:r>
      <w:bookmarkEnd w:id="16"/>
    </w:p>
    <w:p w14:paraId="0B25F50A" w14:textId="7B8B0AB5" w:rsidR="00796FFD" w:rsidRDefault="00796FFD" w:rsidP="00796FFD">
      <w:pPr>
        <w:pStyle w:val="Proposal"/>
      </w:pPr>
      <w:bookmarkStart w:id="17" w:name="_Toc127477267"/>
      <w:r>
        <w:t>SN initiated</w:t>
      </w:r>
      <w:r w:rsidRPr="004F2110">
        <w:t xml:space="preserve"> inter-SN Conditional </w:t>
      </w:r>
      <w:proofErr w:type="spellStart"/>
      <w:r w:rsidRPr="004F2110">
        <w:t>PSCell</w:t>
      </w:r>
      <w:proofErr w:type="spellEnd"/>
      <w:r w:rsidRPr="004F2110">
        <w:t xml:space="preserve"> Changes should be </w:t>
      </w:r>
      <w:r>
        <w:t xml:space="preserve">supported </w:t>
      </w:r>
      <w:r w:rsidRPr="004F2110">
        <w:t xml:space="preserve">in the </w:t>
      </w:r>
      <w:r w:rsidR="0045106C">
        <w:t>R</w:t>
      </w:r>
      <w:r w:rsidRPr="004F2110">
        <w:t xml:space="preserve">el-18 </w:t>
      </w:r>
      <w:r>
        <w:t>solution.</w:t>
      </w:r>
      <w:bookmarkEnd w:id="17"/>
    </w:p>
    <w:p w14:paraId="4A364784" w14:textId="646D997C" w:rsidR="00796FFD" w:rsidRDefault="00796FFD" w:rsidP="00796FFD">
      <w:pPr>
        <w:pStyle w:val="Proposal"/>
      </w:pPr>
      <w:bookmarkStart w:id="18" w:name="_Toc127477268"/>
      <w:r>
        <w:t xml:space="preserve">In case MN initiated inter-SN CPC is to be targeted in the </w:t>
      </w:r>
      <w:r w:rsidR="0045106C">
        <w:t>R</w:t>
      </w:r>
      <w:r>
        <w:t xml:space="preserve">el-18 work, A3/A5 events where the candidate target </w:t>
      </w:r>
      <w:proofErr w:type="spellStart"/>
      <w:r>
        <w:t>PSCell</w:t>
      </w:r>
      <w:proofErr w:type="spellEnd"/>
      <w:r>
        <w:t xml:space="preserve"> is compared with the current/serving </w:t>
      </w:r>
      <w:proofErr w:type="spellStart"/>
      <w:r>
        <w:t>PSCell</w:t>
      </w:r>
      <w:proofErr w:type="spellEnd"/>
      <w:r>
        <w:t xml:space="preserve"> should be supported for MN initiated inter-SN CPC.</w:t>
      </w:r>
      <w:bookmarkEnd w:id="18"/>
    </w:p>
    <w:p w14:paraId="1F62665A" w14:textId="43E86C64" w:rsidR="00796FFD" w:rsidRDefault="00796FFD" w:rsidP="00796FFD">
      <w:pPr>
        <w:rPr>
          <w:highlight w:val="yellow"/>
        </w:rPr>
      </w:pPr>
    </w:p>
    <w:p w14:paraId="2467DC3E" w14:textId="510D082C" w:rsidR="0045106C" w:rsidRDefault="0045106C" w:rsidP="0045106C">
      <w:pPr>
        <w:pStyle w:val="Heading2"/>
      </w:pPr>
      <w:r>
        <w:t>2.5</w:t>
      </w:r>
      <w:r>
        <w:tab/>
        <w:t>Intra-SN and inter-SN CPC configurations</w:t>
      </w:r>
    </w:p>
    <w:p w14:paraId="4693050E" w14:textId="7BDCA730" w:rsidR="00954C40" w:rsidRDefault="00954C40" w:rsidP="00796FFD">
      <w:r w:rsidRPr="00954C40">
        <w:t xml:space="preserve">In case both intra-SN and inter-SN CPC configurations can be kept by the UE when performing cell change procedures, a question is however how to handle the case when a UE has an intra-SN CPC configuration stored and then performs </w:t>
      </w:r>
      <w:r w:rsidRPr="00954C40">
        <w:lastRenderedPageBreak/>
        <w:t xml:space="preserve">an inter-SN </w:t>
      </w:r>
      <w:proofErr w:type="spellStart"/>
      <w:r w:rsidRPr="00954C40">
        <w:t>PSCell</w:t>
      </w:r>
      <w:proofErr w:type="spellEnd"/>
      <w:r w:rsidRPr="00954C40">
        <w:t xml:space="preserve"> change. </w:t>
      </w:r>
      <w:r w:rsidR="00DF4AE4">
        <w:t>Since</w:t>
      </w:r>
      <w:r w:rsidRPr="00954C40">
        <w:t xml:space="preserve"> the intra-SN CPC configuration correspond to a Rel-16 intra-SN CPC configuration, </w:t>
      </w:r>
      <w:proofErr w:type="gramStart"/>
      <w:r w:rsidRPr="00954C40">
        <w:t>i.e.</w:t>
      </w:r>
      <w:proofErr w:type="gramEnd"/>
      <w:r w:rsidRPr="00954C40">
        <w:t xml:space="preserve"> without MN involvement, </w:t>
      </w:r>
      <w:r>
        <w:t xml:space="preserve">it can then not be used by the UE after moving to another SN, even though the included candidate target </w:t>
      </w:r>
      <w:proofErr w:type="spellStart"/>
      <w:r>
        <w:t>PSCell</w:t>
      </w:r>
      <w:proofErr w:type="spellEnd"/>
      <w:r>
        <w:t xml:space="preserve"> </w:t>
      </w:r>
      <w:r w:rsidR="00DF4AE4">
        <w:t xml:space="preserve">(and the configuration) </w:t>
      </w:r>
      <w:r>
        <w:t>may still be a relevant candidate.</w:t>
      </w:r>
    </w:p>
    <w:p w14:paraId="4F909D62" w14:textId="428C07A8" w:rsidR="00035E1B" w:rsidRDefault="00954C40" w:rsidP="00796FFD">
      <w:r>
        <w:t xml:space="preserve">The same question is valid also for the case where the UE is configured with an inter-SN CPC configuration, </w:t>
      </w:r>
      <w:proofErr w:type="gramStart"/>
      <w:r w:rsidR="00DF4AE4">
        <w:t>i.e.</w:t>
      </w:r>
      <w:proofErr w:type="gramEnd"/>
      <w:r>
        <w:t xml:space="preserve"> Rel-17 SN-initiated inter-SN CPC or Rel-17 MN-initiated inter-SN CPC, and the UE performs a </w:t>
      </w:r>
      <w:proofErr w:type="spellStart"/>
      <w:r>
        <w:t>PSCell</w:t>
      </w:r>
      <w:proofErr w:type="spellEnd"/>
      <w:r>
        <w:t xml:space="preserve"> change to another </w:t>
      </w:r>
      <w:proofErr w:type="spellStart"/>
      <w:r>
        <w:t>PSCell</w:t>
      </w:r>
      <w:proofErr w:type="spellEnd"/>
      <w:r>
        <w:t xml:space="preserve"> in the same SN as the candidate target </w:t>
      </w:r>
      <w:proofErr w:type="spellStart"/>
      <w:r>
        <w:t>PSCell</w:t>
      </w:r>
      <w:proofErr w:type="spellEnd"/>
      <w:r>
        <w:t xml:space="preserve"> that is included in the CPC configuration.</w:t>
      </w:r>
      <w:r w:rsidR="00DF4AE4">
        <w:t xml:space="preserve"> In that case the candidate target SN will be the same as the source SN for that configuration.</w:t>
      </w:r>
    </w:p>
    <w:p w14:paraId="1B095BE5" w14:textId="43C3C71E" w:rsidR="00035E1B" w:rsidRDefault="009152C0" w:rsidP="00035E1B">
      <w:pPr>
        <w:pStyle w:val="Observation"/>
      </w:pPr>
      <w:bookmarkStart w:id="19" w:name="_Toc127477255"/>
      <w:r>
        <w:t>For NR-DC with selective activation i</w:t>
      </w:r>
      <w:r w:rsidR="00035E1B">
        <w:t xml:space="preserve">t is unclear how to handle an intra-SN CPC configuration if the UE performs an inter-SN </w:t>
      </w:r>
      <w:proofErr w:type="spellStart"/>
      <w:r w:rsidR="00035E1B">
        <w:t>PSCell</w:t>
      </w:r>
      <w:proofErr w:type="spellEnd"/>
      <w:r w:rsidR="00035E1B">
        <w:t xml:space="preserve"> change.</w:t>
      </w:r>
      <w:bookmarkEnd w:id="19"/>
    </w:p>
    <w:p w14:paraId="4F657444" w14:textId="7FB9C1FD" w:rsidR="00035E1B" w:rsidRPr="00CE0424" w:rsidRDefault="00E2274D" w:rsidP="00035E1B">
      <w:pPr>
        <w:pStyle w:val="Observation"/>
      </w:pPr>
      <w:bookmarkStart w:id="20" w:name="_Toc127477256"/>
      <w:r>
        <w:t>For NR-DC with selective activation i</w:t>
      </w:r>
      <w:r w:rsidR="00035E1B">
        <w:t xml:space="preserve">t is unclear how to handle an inter-SN CPC configuration if the UE performs a </w:t>
      </w:r>
      <w:proofErr w:type="spellStart"/>
      <w:r w:rsidR="00035E1B">
        <w:t>PSCell</w:t>
      </w:r>
      <w:proofErr w:type="spellEnd"/>
      <w:r w:rsidR="00035E1B">
        <w:t xml:space="preserve"> change to a cell in the same SN as the candidate target </w:t>
      </w:r>
      <w:proofErr w:type="spellStart"/>
      <w:r w:rsidR="00035E1B">
        <w:t>PSCell</w:t>
      </w:r>
      <w:proofErr w:type="spellEnd"/>
      <w:r w:rsidR="00035E1B">
        <w:t xml:space="preserve"> in the CPC configuration.</w:t>
      </w:r>
      <w:bookmarkEnd w:id="20"/>
    </w:p>
    <w:p w14:paraId="67FA60F7" w14:textId="77777777" w:rsidR="00035E1B" w:rsidRDefault="00035E1B" w:rsidP="00796FFD"/>
    <w:p w14:paraId="5AE2FC63" w14:textId="5990291A" w:rsidR="001B5887" w:rsidRDefault="001B5887" w:rsidP="00796FFD">
      <w:r w:rsidRPr="001B5887">
        <w:t xml:space="preserve">For the handling of a </w:t>
      </w:r>
      <w:r w:rsidR="0045106C">
        <w:t>R</w:t>
      </w:r>
      <w:r w:rsidRPr="001B5887">
        <w:t xml:space="preserve">el-16 intra-SN CPC configuration at an inter-SN </w:t>
      </w:r>
      <w:proofErr w:type="spellStart"/>
      <w:r w:rsidRPr="001B5887">
        <w:t>PSCell</w:t>
      </w:r>
      <w:proofErr w:type="spellEnd"/>
      <w:r w:rsidRPr="001B5887">
        <w:t xml:space="preserve"> change one could consider to somehow reuse the configuration also when the UE has moved to a different SN</w:t>
      </w:r>
      <w:r>
        <w:t xml:space="preserve"> since the target </w:t>
      </w:r>
      <w:proofErr w:type="spellStart"/>
      <w:r>
        <w:t>PSCell</w:t>
      </w:r>
      <w:proofErr w:type="spellEnd"/>
      <w:r>
        <w:t xml:space="preserve"> and perhaps also the target configuration may be valid for CPC</w:t>
      </w:r>
      <w:r w:rsidRPr="001B5887">
        <w:t xml:space="preserve">. However, specification of such solution </w:t>
      </w:r>
      <w:r>
        <w:t xml:space="preserve">would probably </w:t>
      </w:r>
      <w:r w:rsidRPr="001B5887">
        <w:t xml:space="preserve">be rather complex, </w:t>
      </w:r>
      <w:proofErr w:type="gramStart"/>
      <w:r w:rsidRPr="001B5887">
        <w:t>e.g.</w:t>
      </w:r>
      <w:proofErr w:type="gramEnd"/>
      <w:r w:rsidRPr="001B5887">
        <w:t xml:space="preserve"> due to the need to somehow convert </w:t>
      </w:r>
      <w:r>
        <w:t xml:space="preserve">a CPC configuration in SN format (involving one SN) </w:t>
      </w:r>
      <w:r w:rsidRPr="001B5887">
        <w:t>into an</w:t>
      </w:r>
      <w:r>
        <w:t xml:space="preserve">other one in MN format (which then would </w:t>
      </w:r>
      <w:r w:rsidRPr="001B5887">
        <w:t>involv</w:t>
      </w:r>
      <w:r>
        <w:t>e</w:t>
      </w:r>
      <w:r w:rsidRPr="001B5887">
        <w:t xml:space="preserve"> </w:t>
      </w:r>
      <w:r>
        <w:t xml:space="preserve">both </w:t>
      </w:r>
      <w:r w:rsidRPr="001B5887">
        <w:t>another SN and the MN</w:t>
      </w:r>
      <w:r>
        <w:t>)</w:t>
      </w:r>
      <w:r w:rsidRPr="001B5887">
        <w:t>.</w:t>
      </w:r>
      <w:r>
        <w:t xml:space="preserve"> A simpler solution is then that intra-SN CPC configurations </w:t>
      </w:r>
      <w:r w:rsidR="00FB10C1">
        <w:t xml:space="preserve">instead </w:t>
      </w:r>
      <w:r>
        <w:t xml:space="preserve">are released in case the UE performs an inter-SN </w:t>
      </w:r>
      <w:proofErr w:type="spellStart"/>
      <w:r w:rsidR="00FB10C1">
        <w:t>PSCell</w:t>
      </w:r>
      <w:proofErr w:type="spellEnd"/>
      <w:r w:rsidR="00FB10C1">
        <w:t xml:space="preserve"> change.</w:t>
      </w:r>
    </w:p>
    <w:p w14:paraId="667386F7" w14:textId="61253C9F" w:rsidR="001B5887" w:rsidRPr="00FB10C1" w:rsidRDefault="00DE0FB3" w:rsidP="00796FFD">
      <w:r>
        <w:t xml:space="preserve">For the case of an (Rel-17) inter-SN CPC configuration when the UE moves to another cell in the same SN as the candidate target </w:t>
      </w:r>
      <w:proofErr w:type="spellStart"/>
      <w:r>
        <w:t>PSCell</w:t>
      </w:r>
      <w:proofErr w:type="spellEnd"/>
      <w:r>
        <w:t xml:space="preserve">, such CPC configuration could be kept and still be used </w:t>
      </w:r>
      <w:proofErr w:type="gramStart"/>
      <w:r>
        <w:t>as long as</w:t>
      </w:r>
      <w:proofErr w:type="gramEnd"/>
      <w:r>
        <w:t xml:space="preserve"> this format of CPC configuration would be supported also for intra-SN candidate target </w:t>
      </w:r>
      <w:proofErr w:type="spellStart"/>
      <w:r>
        <w:t>PSCells</w:t>
      </w:r>
      <w:proofErr w:type="spellEnd"/>
      <w:r>
        <w:t xml:space="preserve">. This would thus be possible as long as it is supported to </w:t>
      </w:r>
      <w:r w:rsidR="00FB10C1">
        <w:t xml:space="preserve">configure CPC for intra-SN </w:t>
      </w:r>
      <w:proofErr w:type="spellStart"/>
      <w:r w:rsidR="00FB10C1">
        <w:t>PSCells</w:t>
      </w:r>
      <w:proofErr w:type="spellEnd"/>
      <w:r w:rsidR="00FB10C1">
        <w:t xml:space="preserve"> using the </w:t>
      </w:r>
      <w:r w:rsidR="0045106C">
        <w:t>R</w:t>
      </w:r>
      <w:r w:rsidR="00FB10C1">
        <w:t xml:space="preserve">el-17 CPC configuration in MN format, </w:t>
      </w:r>
      <w:proofErr w:type="gramStart"/>
      <w:r w:rsidR="00FB10C1">
        <w:t>i.e.</w:t>
      </w:r>
      <w:proofErr w:type="gramEnd"/>
      <w:r w:rsidR="00FB10C1">
        <w:t xml:space="preserve"> that the candidate target </w:t>
      </w:r>
      <w:proofErr w:type="spellStart"/>
      <w:r w:rsidR="00FB10C1">
        <w:t>PSCell</w:t>
      </w:r>
      <w:proofErr w:type="spellEnd"/>
      <w:r w:rsidR="00FB10C1">
        <w:t xml:space="preserve"> also belongs to the S-SN and that the S-SN is the candidate T-SN in that configuration. Such CPC configuration could then be kept </w:t>
      </w:r>
      <w:r>
        <w:t xml:space="preserve">in all the cases of inter-SN </w:t>
      </w:r>
      <w:proofErr w:type="spellStart"/>
      <w:r w:rsidR="00FB10C1">
        <w:t>PSCell</w:t>
      </w:r>
      <w:proofErr w:type="spellEnd"/>
      <w:r w:rsidR="00FB10C1">
        <w:t xml:space="preserve"> change</w:t>
      </w:r>
      <w:r>
        <w:t xml:space="preserve">s, </w:t>
      </w:r>
      <w:proofErr w:type="gramStart"/>
      <w:r>
        <w:t>i.e.</w:t>
      </w:r>
      <w:proofErr w:type="gramEnd"/>
      <w:r>
        <w:t xml:space="preserve"> both </w:t>
      </w:r>
      <w:r w:rsidR="00E6372B">
        <w:t xml:space="preserve">at changes </w:t>
      </w:r>
      <w:r>
        <w:t>to</w:t>
      </w:r>
      <w:r w:rsidR="00FB10C1">
        <w:t xml:space="preserve"> </w:t>
      </w:r>
      <w:r>
        <w:t xml:space="preserve">a different SN </w:t>
      </w:r>
      <w:r w:rsidR="00E6372B">
        <w:t xml:space="preserve">and changes </w:t>
      </w:r>
      <w:r>
        <w:t xml:space="preserve">to the SN that the candidate target </w:t>
      </w:r>
      <w:proofErr w:type="spellStart"/>
      <w:r>
        <w:t>PSCell</w:t>
      </w:r>
      <w:proofErr w:type="spellEnd"/>
      <w:r>
        <w:t xml:space="preserve"> belongs to</w:t>
      </w:r>
      <w:r w:rsidR="00FB10C1">
        <w:t>.</w:t>
      </w:r>
      <w:bookmarkStart w:id="21" w:name="_Hlk118351813"/>
    </w:p>
    <w:p w14:paraId="651FB4DD" w14:textId="64807F33" w:rsidR="00FB10C1" w:rsidRPr="00492EBD" w:rsidRDefault="00FB10C1" w:rsidP="00035E1B">
      <w:pPr>
        <w:pStyle w:val="Proposal"/>
      </w:pPr>
      <w:bookmarkStart w:id="22" w:name="_Toc127477269"/>
      <w:r w:rsidRPr="00492EBD">
        <w:t xml:space="preserve">In case the UE performs an inter-SN </w:t>
      </w:r>
      <w:proofErr w:type="spellStart"/>
      <w:r w:rsidRPr="00492EBD">
        <w:t>PSCell</w:t>
      </w:r>
      <w:proofErr w:type="spellEnd"/>
      <w:r w:rsidRPr="00492EBD">
        <w:t xml:space="preserve"> change, it </w:t>
      </w:r>
      <w:r w:rsidR="00492EBD" w:rsidRPr="00492EBD">
        <w:t xml:space="preserve">should release any </w:t>
      </w:r>
      <w:r w:rsidR="0045106C">
        <w:t>R</w:t>
      </w:r>
      <w:r w:rsidR="00492EBD" w:rsidRPr="00492EBD">
        <w:t>el-16 intra-SN CPC configurations.</w:t>
      </w:r>
      <w:bookmarkEnd w:id="22"/>
    </w:p>
    <w:p w14:paraId="79D3B1A9" w14:textId="355EB79C" w:rsidR="00035E1B" w:rsidRPr="00492EBD" w:rsidRDefault="00492EBD" w:rsidP="00035E1B">
      <w:pPr>
        <w:pStyle w:val="Proposal"/>
      </w:pPr>
      <w:bookmarkStart w:id="23" w:name="_Toc127477270"/>
      <w:bookmarkEnd w:id="21"/>
      <w:r>
        <w:t>For NR-DC with selective activation, i</w:t>
      </w:r>
      <w:r w:rsidR="0050632D" w:rsidRPr="00492EBD">
        <w:t xml:space="preserve">t should be supported to configure CPC for an intra-SN candidate target </w:t>
      </w:r>
      <w:proofErr w:type="spellStart"/>
      <w:r w:rsidR="0050632D" w:rsidRPr="00492EBD">
        <w:t>PSCell</w:t>
      </w:r>
      <w:proofErr w:type="spellEnd"/>
      <w:r w:rsidR="0050632D" w:rsidRPr="00492EBD">
        <w:t xml:space="preserve"> using </w:t>
      </w:r>
      <w:r w:rsidR="00242028" w:rsidRPr="00492EBD">
        <w:t xml:space="preserve">the </w:t>
      </w:r>
      <w:r w:rsidR="0045106C">
        <w:t>R</w:t>
      </w:r>
      <w:r w:rsidR="0050632D" w:rsidRPr="00492EBD">
        <w:t xml:space="preserve">el-17 inter-SN </w:t>
      </w:r>
      <w:r w:rsidR="00242028" w:rsidRPr="00492EBD">
        <w:t xml:space="preserve">CPC </w:t>
      </w:r>
      <w:r w:rsidR="0050632D" w:rsidRPr="00492EBD">
        <w:t xml:space="preserve">solution, </w:t>
      </w:r>
      <w:proofErr w:type="gramStart"/>
      <w:r w:rsidR="0050632D" w:rsidRPr="00492EBD">
        <w:t>i.e.</w:t>
      </w:r>
      <w:proofErr w:type="gramEnd"/>
      <w:r w:rsidR="0050632D" w:rsidRPr="00492EBD">
        <w:t xml:space="preserve"> to configure it in MN format</w:t>
      </w:r>
      <w:r w:rsidRPr="00492EBD">
        <w:t>.</w:t>
      </w:r>
      <w:bookmarkEnd w:id="23"/>
    </w:p>
    <w:p w14:paraId="726695AE" w14:textId="03B72D47" w:rsidR="00796FFD" w:rsidRDefault="00796FFD" w:rsidP="00492EBD">
      <w:pPr>
        <w:tabs>
          <w:tab w:val="left" w:pos="4308"/>
        </w:tabs>
        <w:rPr>
          <w:highlight w:val="yellow"/>
        </w:rPr>
      </w:pPr>
    </w:p>
    <w:p w14:paraId="7B68FDDA" w14:textId="5620F62C" w:rsidR="009F16F5" w:rsidRDefault="009F16F5" w:rsidP="009F16F5">
      <w:pPr>
        <w:pStyle w:val="Heading2"/>
      </w:pPr>
      <w:r>
        <w:t>2.</w:t>
      </w:r>
      <w:r w:rsidR="0045106C">
        <w:t>6</w:t>
      </w:r>
      <w:r>
        <w:tab/>
        <w:t xml:space="preserve">Support for delta </w:t>
      </w:r>
      <w:r w:rsidR="00DB6872">
        <w:t xml:space="preserve">and reference </w:t>
      </w:r>
      <w:r>
        <w:t>configurations</w:t>
      </w:r>
    </w:p>
    <w:p w14:paraId="50C1DEB6" w14:textId="7F85E6CD" w:rsidR="00B048FD" w:rsidRPr="00B048FD" w:rsidRDefault="00A358E9" w:rsidP="00B048FD">
      <w:r w:rsidRPr="00C7279E">
        <w:t>The following agreement</w:t>
      </w:r>
      <w:r w:rsidR="00A83566">
        <w:t>s</w:t>
      </w:r>
      <w:r w:rsidRPr="00C7279E">
        <w:t xml:space="preserve"> related to </w:t>
      </w:r>
      <w:r>
        <w:t xml:space="preserve">delta </w:t>
      </w:r>
      <w:r w:rsidR="00A83566">
        <w:t xml:space="preserve">and reference </w:t>
      </w:r>
      <w:r>
        <w:t>configuration</w:t>
      </w:r>
      <w:r w:rsidR="00A83566">
        <w:t>s</w:t>
      </w:r>
      <w:r w:rsidRPr="00C7279E">
        <w:t xml:space="preserve"> </w:t>
      </w:r>
      <w:r w:rsidR="00D62F5F" w:rsidRPr="00C7279E">
        <w:t>w</w:t>
      </w:r>
      <w:r w:rsidR="00D62F5F">
        <w:t>ere</w:t>
      </w:r>
      <w:r w:rsidR="00D62F5F" w:rsidRPr="00C7279E">
        <w:t xml:space="preserve"> </w:t>
      </w:r>
      <w:r w:rsidRPr="00C7279E">
        <w:t>reached at the RAN2#</w:t>
      </w:r>
      <w:r w:rsidR="00A83566">
        <w:t>120</w:t>
      </w:r>
      <w:r w:rsidRPr="00C7279E">
        <w:t xml:space="preserve"> meeting</w:t>
      </w:r>
      <w:r w:rsidR="00B048FD">
        <w:t>:</w:t>
      </w:r>
    </w:p>
    <w:p w14:paraId="181ADEA2" w14:textId="77777777" w:rsidR="00A83566" w:rsidRDefault="00A83566" w:rsidP="00A83566">
      <w:pPr>
        <w:pStyle w:val="Agreement"/>
        <w:tabs>
          <w:tab w:val="clear" w:pos="1494"/>
        </w:tabs>
        <w:ind w:left="993" w:hanging="426"/>
      </w:pPr>
      <w:r>
        <w:t>A UE stores the reference configuration as a separate configuration.</w:t>
      </w:r>
    </w:p>
    <w:p w14:paraId="59DB9F47" w14:textId="702D01DB" w:rsidR="00A83566" w:rsidRDefault="00A83566" w:rsidP="00A83566">
      <w:pPr>
        <w:pStyle w:val="Agreement"/>
        <w:tabs>
          <w:tab w:val="clear" w:pos="1494"/>
        </w:tabs>
        <w:ind w:left="993" w:hanging="426"/>
      </w:pPr>
      <w:r>
        <w:t>The reference configuration is managed separately</w:t>
      </w:r>
    </w:p>
    <w:p w14:paraId="78BF1B2F" w14:textId="77777777" w:rsidR="00B048FD" w:rsidRDefault="00B048FD" w:rsidP="00796FFD">
      <w:pPr>
        <w:rPr>
          <w:highlight w:val="yellow"/>
        </w:rPr>
      </w:pPr>
    </w:p>
    <w:p w14:paraId="3D4BD36F" w14:textId="473CA709" w:rsidR="00636E26" w:rsidRDefault="0005697C" w:rsidP="00FD406F">
      <w:r>
        <w:t>It has thus been agreed that there should be a separate reference configuration that can be used to configure a candidate target cell configuration for NR-DC with selective activation (</w:t>
      </w:r>
      <w:proofErr w:type="gramStart"/>
      <w:r>
        <w:t>i.e.</w:t>
      </w:r>
      <w:proofErr w:type="gramEnd"/>
      <w:r>
        <w:t xml:space="preserve"> a CPC or CPA configuration) as a delta configuration. The structure of this reference configuration however needs to be decided. Considering that the candidate target cell configuration for Rel-17 CPC/CPA (</w:t>
      </w:r>
      <w:proofErr w:type="gramStart"/>
      <w:r>
        <w:t>i.e.</w:t>
      </w:r>
      <w:proofErr w:type="gramEnd"/>
      <w:r>
        <w:t xml:space="preserve"> the </w:t>
      </w:r>
      <w:proofErr w:type="spellStart"/>
      <w:r w:rsidRPr="0005697C">
        <w:rPr>
          <w:i/>
          <w:iCs/>
        </w:rPr>
        <w:t>condRRCReconfig</w:t>
      </w:r>
      <w:proofErr w:type="spellEnd"/>
      <w:r>
        <w:t xml:space="preserve">) consists of an </w:t>
      </w:r>
      <w:proofErr w:type="spellStart"/>
      <w:r w:rsidRPr="00572313">
        <w:rPr>
          <w:i/>
          <w:iCs/>
        </w:rPr>
        <w:t>RRCReconfiguration</w:t>
      </w:r>
      <w:proofErr w:type="spellEnd"/>
      <w:r>
        <w:t xml:space="preserve"> message</w:t>
      </w:r>
      <w:r w:rsidR="00636E26">
        <w:t xml:space="preserve"> the reference configuration should consist of an </w:t>
      </w:r>
      <w:proofErr w:type="spellStart"/>
      <w:r w:rsidR="00636E26" w:rsidRPr="00254391">
        <w:rPr>
          <w:i/>
          <w:iCs/>
        </w:rPr>
        <w:t>RRCReconfiguration</w:t>
      </w:r>
      <w:proofErr w:type="spellEnd"/>
      <w:r w:rsidR="00636E26">
        <w:t xml:space="preserve"> message. Since the configurations may be different for </w:t>
      </w:r>
      <w:proofErr w:type="gramStart"/>
      <w:r w:rsidR="00636E26">
        <w:t>e.g.</w:t>
      </w:r>
      <w:proofErr w:type="gramEnd"/>
      <w:r w:rsidR="00636E26">
        <w:t xml:space="preserve"> different candidate frequencies, it could perhaps be useful to have multiple reference configurations.</w:t>
      </w:r>
    </w:p>
    <w:p w14:paraId="2472BD40" w14:textId="12530E89" w:rsidR="00636E26" w:rsidRDefault="003F501A" w:rsidP="00E3665C">
      <w:pPr>
        <w:pStyle w:val="Proposal"/>
      </w:pPr>
      <w:bookmarkStart w:id="24" w:name="_Toc127477271"/>
      <w:r>
        <w:t xml:space="preserve">The reference configuration </w:t>
      </w:r>
      <w:r w:rsidR="00EC1DA2">
        <w:t xml:space="preserve">for NR-DC with selective activation </w:t>
      </w:r>
      <w:r w:rsidR="00AF03CF">
        <w:t xml:space="preserve">should </w:t>
      </w:r>
      <w:r w:rsidR="00636E26">
        <w:t xml:space="preserve">consist of </w:t>
      </w:r>
      <w:r>
        <w:t xml:space="preserve">an </w:t>
      </w:r>
      <w:proofErr w:type="spellStart"/>
      <w:r w:rsidRPr="003F501A">
        <w:rPr>
          <w:i/>
          <w:iCs/>
        </w:rPr>
        <w:t>RRCReco</w:t>
      </w:r>
      <w:r w:rsidRPr="00636E26">
        <w:rPr>
          <w:i/>
          <w:iCs/>
        </w:rPr>
        <w:t>nfiguration</w:t>
      </w:r>
      <w:proofErr w:type="spellEnd"/>
      <w:r w:rsidRPr="00636E26">
        <w:t xml:space="preserve"> message.</w:t>
      </w:r>
      <w:r w:rsidR="00636E26" w:rsidRPr="00636E26">
        <w:t xml:space="preserve"> </w:t>
      </w:r>
      <w:r w:rsidR="00636E26" w:rsidRPr="00254391">
        <w:t xml:space="preserve">FFS whether </w:t>
      </w:r>
      <w:r w:rsidR="00636E26" w:rsidRPr="00636E26">
        <w:t>multiple reference configurations are needed.</w:t>
      </w:r>
      <w:bookmarkEnd w:id="24"/>
    </w:p>
    <w:p w14:paraId="62B20CED" w14:textId="7AD82D0F" w:rsidR="00C3121C" w:rsidRDefault="00C3121C" w:rsidP="00254391">
      <w:r w:rsidRPr="00386BD4">
        <w:t>A further aspect to be considered is how to handle the reference configuration. A reference configuration is not required for NR-DC with selective activation to work, and the use of reference configuration is thus optional.</w:t>
      </w:r>
      <w:r>
        <w:t xml:space="preserve"> </w:t>
      </w:r>
      <w:r w:rsidRPr="00386BD4">
        <w:t xml:space="preserve">Whether to build </w:t>
      </w:r>
      <w:r>
        <w:t>the</w:t>
      </w:r>
      <w:r w:rsidRPr="00386BD4">
        <w:t xml:space="preserve"> candidate </w:t>
      </w:r>
      <w:r>
        <w:t xml:space="preserve">target cell </w:t>
      </w:r>
      <w:r w:rsidRPr="00386BD4">
        <w:t>configuration (</w:t>
      </w:r>
      <w:r>
        <w:t xml:space="preserve">of </w:t>
      </w:r>
      <w:r w:rsidRPr="00386BD4">
        <w:t>CPC or CPA</w:t>
      </w:r>
      <w:r>
        <w:t xml:space="preserve"> configuration</w:t>
      </w:r>
      <w:r w:rsidRPr="00386BD4">
        <w:t>) on top of the reference configuration</w:t>
      </w:r>
      <w:r>
        <w:t xml:space="preserve">, or to build </w:t>
      </w:r>
      <w:r>
        <w:lastRenderedPageBreak/>
        <w:t>a full configuration,</w:t>
      </w:r>
      <w:r w:rsidRPr="00386BD4">
        <w:t xml:space="preserve"> is up to the candidate target SN </w:t>
      </w:r>
      <w:r w:rsidR="004F198E">
        <w:t xml:space="preserve">(and the MN) </w:t>
      </w:r>
      <w:r>
        <w:t xml:space="preserve">for the corresponding </w:t>
      </w:r>
      <w:r w:rsidRPr="00386BD4">
        <w:t>CPC/CPA configuration.</w:t>
      </w:r>
      <w:r>
        <w:t xml:space="preserve"> The reference configuration, if any, is then sent from the MN to the candidate target </w:t>
      </w:r>
      <w:r w:rsidR="00CC514C">
        <w:t xml:space="preserve">SN at the configuration of CPC or CPA (in the SN Addition Request message) and it is then up to the candidate target SN whether to use it or not. </w:t>
      </w:r>
      <w:r w:rsidRPr="00386BD4">
        <w:t>It should thus be up to the network whether to provide a reference configuration or not</w:t>
      </w:r>
      <w:r>
        <w:t>, but it should be clear for the UE whether the received configuration is built on top of the reference configuration or not</w:t>
      </w:r>
      <w:r w:rsidRPr="00386BD4">
        <w:t>.</w:t>
      </w:r>
    </w:p>
    <w:p w14:paraId="63A6D8C9" w14:textId="77777777" w:rsidR="00C3121C" w:rsidRPr="00386BD4" w:rsidRDefault="00C3121C" w:rsidP="00254391">
      <w:r w:rsidRPr="00386BD4">
        <w:t>In principle it should also be possible for the network to provide a reference configuration to the UE before configuring any candidate configuration for NR-DC with selective activation (</w:t>
      </w:r>
      <w:proofErr w:type="gramStart"/>
      <w:r w:rsidRPr="00386BD4">
        <w:t>i.e.</w:t>
      </w:r>
      <w:proofErr w:type="gramEnd"/>
      <w:r w:rsidRPr="00386BD4">
        <w:t xml:space="preserve"> CPC or CPA).</w:t>
      </w:r>
      <w:r>
        <w:t xml:space="preserve"> Since the current configuration of a UE may be changed while the UE is configured with candidate target cell configurations and an associated reference configuration, it should be possible to modify the reference configuration. It should also be possible to release it when it is no longer needed.</w:t>
      </w:r>
    </w:p>
    <w:p w14:paraId="72D442C2" w14:textId="144B51F7" w:rsidR="00C3121C" w:rsidRDefault="00C3121C" w:rsidP="00C3121C">
      <w:pPr>
        <w:pStyle w:val="Proposal"/>
      </w:pPr>
      <w:bookmarkStart w:id="25" w:name="_Toc127445583"/>
      <w:bookmarkStart w:id="26" w:name="_Toc127477272"/>
      <w:r w:rsidRPr="00386BD4">
        <w:rPr>
          <w:rStyle w:val="ui-provider"/>
        </w:rPr>
        <w:t xml:space="preserve">The reference configuration IE/field </w:t>
      </w:r>
      <w:r>
        <w:rPr>
          <w:rStyle w:val="ui-provider"/>
        </w:rPr>
        <w:t xml:space="preserve">for candidate cell configurations, for NR-DC with selective activation, </w:t>
      </w:r>
      <w:r w:rsidRPr="00386BD4">
        <w:rPr>
          <w:rStyle w:val="ui-provider"/>
        </w:rPr>
        <w:t xml:space="preserve">is optional. </w:t>
      </w:r>
      <w:r w:rsidRPr="00386BD4">
        <w:t>It is up to the network to provide a reference configuration</w:t>
      </w:r>
      <w:r w:rsidR="006A0363">
        <w:t xml:space="preserve"> to the UE</w:t>
      </w:r>
      <w:r w:rsidRPr="00386BD4">
        <w:t>.</w:t>
      </w:r>
      <w:bookmarkEnd w:id="25"/>
      <w:bookmarkEnd w:id="26"/>
    </w:p>
    <w:p w14:paraId="5411F740" w14:textId="77777777" w:rsidR="00C3121C" w:rsidRPr="008D0ADE" w:rsidRDefault="00C3121C" w:rsidP="00C3121C">
      <w:pPr>
        <w:pStyle w:val="Proposal"/>
      </w:pPr>
      <w:bookmarkStart w:id="27" w:name="_Toc127445586"/>
      <w:bookmarkStart w:id="28" w:name="_Toc127477273"/>
      <w:r w:rsidRPr="008D0ADE">
        <w:t xml:space="preserve">The UE, when receiving a candidate target cell configuration for NR-DC with selective activation, </w:t>
      </w:r>
      <w:r>
        <w:t>should be</w:t>
      </w:r>
      <w:r w:rsidRPr="008D0ADE">
        <w:t xml:space="preserve"> aware whether it is a delta configuration on top of a reference configuration or if it is a full configuration.</w:t>
      </w:r>
      <w:bookmarkEnd w:id="27"/>
      <w:bookmarkEnd w:id="28"/>
    </w:p>
    <w:p w14:paraId="504725F2" w14:textId="6CA15D4D" w:rsidR="00C3121C" w:rsidRPr="00F10ED2" w:rsidRDefault="00C3121C" w:rsidP="00C3121C">
      <w:pPr>
        <w:pStyle w:val="Proposal"/>
      </w:pPr>
      <w:bookmarkStart w:id="29" w:name="_Toc127445585"/>
      <w:bookmarkStart w:id="30" w:name="_Toc127477274"/>
      <w:r w:rsidRPr="00F10ED2">
        <w:t xml:space="preserve">The reference configuration can be </w:t>
      </w:r>
      <w:r w:rsidR="004F198E">
        <w:t xml:space="preserve">added, </w:t>
      </w:r>
      <w:proofErr w:type="gramStart"/>
      <w:r w:rsidRPr="00F10ED2">
        <w:t>modified</w:t>
      </w:r>
      <w:proofErr w:type="gramEnd"/>
      <w:r w:rsidRPr="00F10ED2">
        <w:t xml:space="preserve"> or released by the network.</w:t>
      </w:r>
      <w:bookmarkEnd w:id="29"/>
      <w:bookmarkEnd w:id="30"/>
    </w:p>
    <w:p w14:paraId="5DEF6B80" w14:textId="2E544439" w:rsidR="00F10ED2" w:rsidRPr="00492EBD" w:rsidRDefault="00F10ED2" w:rsidP="009A0B11"/>
    <w:p w14:paraId="0D480F62" w14:textId="051E0CD4" w:rsidR="00726C05" w:rsidRDefault="00726C05" w:rsidP="00726C05">
      <w:pPr>
        <w:pStyle w:val="Heading2"/>
      </w:pPr>
      <w:r>
        <w:t>2.</w:t>
      </w:r>
      <w:r w:rsidR="0045106C">
        <w:t>7</w:t>
      </w:r>
      <w:r>
        <w:tab/>
        <w:t>Candidate configuration for the serving cell</w:t>
      </w:r>
    </w:p>
    <w:p w14:paraId="1EA70B6E" w14:textId="0DBC037F" w:rsidR="00B80ABA" w:rsidRDefault="00B80ABA" w:rsidP="00796FFD">
      <w:r>
        <w:t>A rather typical use case for the frequent SCG changes in FR2 includes that the UE goes back to a</w:t>
      </w:r>
      <w:r w:rsidR="009D00F3">
        <w:t>ny of the</w:t>
      </w:r>
      <w:r>
        <w:t xml:space="preserve"> previous </w:t>
      </w:r>
      <w:proofErr w:type="spellStart"/>
      <w:r>
        <w:t>PSCell</w:t>
      </w:r>
      <w:r w:rsidR="00F05D4A">
        <w:t>s</w:t>
      </w:r>
      <w:proofErr w:type="spellEnd"/>
      <w:r>
        <w:t xml:space="preserve">. </w:t>
      </w:r>
      <w:r w:rsidR="009D00F3">
        <w:t>This means that the UE should be able to go back to the source cell based on a CPC configuration</w:t>
      </w:r>
      <w:r w:rsidR="005A5864">
        <w:t>.</w:t>
      </w:r>
    </w:p>
    <w:p w14:paraId="69625BA0" w14:textId="24AF6CE9" w:rsidR="009D00F3" w:rsidRDefault="009D00F3" w:rsidP="00796FFD">
      <w:r>
        <w:t xml:space="preserve">This means that when configuring CPC candidates for NR-DC selective activation, </w:t>
      </w:r>
      <w:proofErr w:type="gramStart"/>
      <w:r>
        <w:t>i.e.</w:t>
      </w:r>
      <w:proofErr w:type="gramEnd"/>
      <w:r>
        <w:t xml:space="preserve"> CPC configurations that can be kept at cell change procedures, it should </w:t>
      </w:r>
      <w:r w:rsidR="00DA61EB">
        <w:t xml:space="preserve">also </w:t>
      </w:r>
      <w:r>
        <w:t xml:space="preserve">be possible to configure CPC for the current serving cell. When the UE performs a </w:t>
      </w:r>
      <w:proofErr w:type="spellStart"/>
      <w:r>
        <w:t>PSCell</w:t>
      </w:r>
      <w:proofErr w:type="spellEnd"/>
      <w:r>
        <w:t xml:space="preserve"> change procedure (normal or CPC) to a </w:t>
      </w:r>
      <w:proofErr w:type="spellStart"/>
      <w:r>
        <w:t>PSCell</w:t>
      </w:r>
      <w:proofErr w:type="spellEnd"/>
      <w:r>
        <w:t xml:space="preserve"> for which the UE has a CPC configuration, it should </w:t>
      </w:r>
      <w:r w:rsidR="005A5864">
        <w:t xml:space="preserve">also </w:t>
      </w:r>
      <w:r>
        <w:t>keep that CPC configuration</w:t>
      </w:r>
      <w:r w:rsidR="005A5864">
        <w:t xml:space="preserve"> so that it can be used after leaving that </w:t>
      </w:r>
      <w:proofErr w:type="spellStart"/>
      <w:r w:rsidR="005A5864">
        <w:t>PSCell</w:t>
      </w:r>
      <w:proofErr w:type="spellEnd"/>
      <w:r>
        <w:t xml:space="preserve">. This </w:t>
      </w:r>
      <w:r w:rsidR="005A5864">
        <w:t xml:space="preserve">then means </w:t>
      </w:r>
      <w:r>
        <w:t xml:space="preserve">that </w:t>
      </w:r>
      <w:r w:rsidR="00FB32C0">
        <w:t xml:space="preserve">the UE </w:t>
      </w:r>
      <w:r>
        <w:t>keep</w:t>
      </w:r>
      <w:r w:rsidR="005A5864">
        <w:t>s</w:t>
      </w:r>
      <w:r>
        <w:t xml:space="preserve"> a CPC configuration that has just been executed.</w:t>
      </w:r>
    </w:p>
    <w:p w14:paraId="674DDE70" w14:textId="05387392" w:rsidR="00B80ABA" w:rsidRDefault="009D00F3" w:rsidP="00796FFD">
      <w:r>
        <w:t xml:space="preserve">In any of these cases, when the candidate target </w:t>
      </w:r>
      <w:proofErr w:type="spellStart"/>
      <w:r>
        <w:t>PSCell</w:t>
      </w:r>
      <w:proofErr w:type="spellEnd"/>
      <w:r>
        <w:t xml:space="preserve"> in a CPC configuration is the same as the current serving </w:t>
      </w:r>
      <w:proofErr w:type="spellStart"/>
      <w:r>
        <w:t>PSCell</w:t>
      </w:r>
      <w:proofErr w:type="spellEnd"/>
      <w:r>
        <w:t xml:space="preserve">, the UE should </w:t>
      </w:r>
      <w:r w:rsidR="00FB32C0">
        <w:t xml:space="preserve">however </w:t>
      </w:r>
      <w:r>
        <w:t>not perform any evaluation of that CPC configuration, or it should at least not perform any execution of the configuration.</w:t>
      </w:r>
    </w:p>
    <w:p w14:paraId="2AFA11C8" w14:textId="4812C890" w:rsidR="00753095" w:rsidRDefault="00350C3E" w:rsidP="00753095">
      <w:pPr>
        <w:pStyle w:val="Proposal"/>
      </w:pPr>
      <w:bookmarkStart w:id="31" w:name="_Toc127477275"/>
      <w:r>
        <w:t xml:space="preserve">It should be possible to </w:t>
      </w:r>
      <w:r w:rsidR="00881B6E">
        <w:t xml:space="preserve">have </w:t>
      </w:r>
      <w:r>
        <w:t xml:space="preserve">a CPC configuration for the serving </w:t>
      </w:r>
      <w:proofErr w:type="spellStart"/>
      <w:r>
        <w:t>PSCell</w:t>
      </w:r>
      <w:proofErr w:type="spellEnd"/>
      <w:r>
        <w:t xml:space="preserve">, </w:t>
      </w:r>
      <w:proofErr w:type="gramStart"/>
      <w:r>
        <w:t>i.e.</w:t>
      </w:r>
      <w:proofErr w:type="gramEnd"/>
      <w:r>
        <w:t xml:space="preserve"> where the current serving </w:t>
      </w:r>
      <w:proofErr w:type="spellStart"/>
      <w:r>
        <w:t>PSCell</w:t>
      </w:r>
      <w:proofErr w:type="spellEnd"/>
      <w:r>
        <w:t xml:space="preserve"> is the candidate target </w:t>
      </w:r>
      <w:proofErr w:type="spellStart"/>
      <w:r>
        <w:t>PSCell</w:t>
      </w:r>
      <w:proofErr w:type="spellEnd"/>
      <w:r>
        <w:t>.</w:t>
      </w:r>
      <w:bookmarkEnd w:id="31"/>
    </w:p>
    <w:p w14:paraId="6647CF3B" w14:textId="37B291DE" w:rsidR="009D00F3" w:rsidRDefault="009D00F3" w:rsidP="00753095">
      <w:pPr>
        <w:pStyle w:val="Proposal"/>
      </w:pPr>
      <w:bookmarkStart w:id="32" w:name="_Toc127477276"/>
      <w:r>
        <w:t xml:space="preserve">A CPC configuration where the candidate target </w:t>
      </w:r>
      <w:proofErr w:type="spellStart"/>
      <w:r>
        <w:t>PSCell</w:t>
      </w:r>
      <w:proofErr w:type="spellEnd"/>
      <w:r>
        <w:t xml:space="preserve"> is the same as the current serving </w:t>
      </w:r>
      <w:proofErr w:type="spellStart"/>
      <w:r>
        <w:t>PSCell</w:t>
      </w:r>
      <w:proofErr w:type="spellEnd"/>
      <w:r>
        <w:t xml:space="preserve"> should not be evaluated, or at least not executed, by the UE.</w:t>
      </w:r>
      <w:bookmarkEnd w:id="32"/>
    </w:p>
    <w:p w14:paraId="299E7794" w14:textId="4FBD65E0" w:rsidR="00753095" w:rsidRDefault="00753095" w:rsidP="00796FFD"/>
    <w:p w14:paraId="6F04C015" w14:textId="662114D6" w:rsidR="00A73A8F" w:rsidRDefault="00A73A8F" w:rsidP="00A73A8F">
      <w:pPr>
        <w:pStyle w:val="Heading2"/>
      </w:pPr>
      <w:r>
        <w:t>2.</w:t>
      </w:r>
      <w:r w:rsidR="0045106C">
        <w:t>8</w:t>
      </w:r>
      <w:r>
        <w:tab/>
        <w:t>Feature name</w:t>
      </w:r>
    </w:p>
    <w:p w14:paraId="035AD848" w14:textId="00D16C09" w:rsidR="003A725A" w:rsidRDefault="005A364F" w:rsidP="00A73A8F">
      <w:r>
        <w:t>The name that is currently used</w:t>
      </w:r>
      <w:r w:rsidR="00B36DBA">
        <w:t xml:space="preserve"> for </w:t>
      </w:r>
      <w:r>
        <w:t xml:space="preserve">the feature, </w:t>
      </w:r>
      <w:proofErr w:type="gramStart"/>
      <w:r>
        <w:t>i.e.</w:t>
      </w:r>
      <w:proofErr w:type="gramEnd"/>
      <w:r>
        <w:t xml:space="preserve"> “NR-DC with selective activation of cell groups” or “NR-DC with selective activation”, is based on the wording </w:t>
      </w:r>
      <w:r w:rsidR="00B36DBA">
        <w:t xml:space="preserve">in </w:t>
      </w:r>
      <w:r>
        <w:t xml:space="preserve">the </w:t>
      </w:r>
      <w:r w:rsidR="00B36DBA">
        <w:t xml:space="preserve">WID </w:t>
      </w:r>
      <w:r w:rsidR="00B36DBA">
        <w:fldChar w:fldCharType="begin"/>
      </w:r>
      <w:r w:rsidR="00B36DBA">
        <w:instrText xml:space="preserve"> REF _Ref107489175 \r \h </w:instrText>
      </w:r>
      <w:r w:rsidR="00B36DBA">
        <w:fldChar w:fldCharType="separate"/>
      </w:r>
      <w:r w:rsidR="00B36DBA">
        <w:t>[1]</w:t>
      </w:r>
      <w:r w:rsidR="00B36DBA">
        <w:fldChar w:fldCharType="end"/>
      </w:r>
      <w:r>
        <w:t xml:space="preserve">. </w:t>
      </w:r>
      <w:r w:rsidR="00B36DBA">
        <w:t xml:space="preserve">At the start of the work </w:t>
      </w:r>
      <w:proofErr w:type="gramStart"/>
      <w:r w:rsidR="00B36DBA">
        <w:t>item</w:t>
      </w:r>
      <w:proofErr w:type="gramEnd"/>
      <w:r w:rsidR="00B36DBA">
        <w:t xml:space="preserve"> i</w:t>
      </w:r>
      <w:r>
        <w:t>t was however not yet clear how the feature should work, e.g. whether the cell change should be conditional or network triggered.</w:t>
      </w:r>
    </w:p>
    <w:p w14:paraId="317DC750" w14:textId="23A6BE69" w:rsidR="00A73A8F" w:rsidRDefault="005A364F" w:rsidP="00A73A8F">
      <w:r>
        <w:t>It is now clear that the feature consists of that conditional reconfigurations (CPC or CPA) can be kept</w:t>
      </w:r>
      <w:r w:rsidR="00B36DBA">
        <w:t xml:space="preserve"> by the UE</w:t>
      </w:r>
      <w:r>
        <w:t xml:space="preserve">, </w:t>
      </w:r>
      <w:proofErr w:type="gramStart"/>
      <w:r>
        <w:t>i.e.</w:t>
      </w:r>
      <w:proofErr w:type="gramEnd"/>
      <w:r>
        <w:t xml:space="preserve"> not released, when it performs cell </w:t>
      </w:r>
      <w:r w:rsidR="00B36DBA">
        <w:t xml:space="preserve">group </w:t>
      </w:r>
      <w:r>
        <w:t>changes.</w:t>
      </w:r>
      <w:r w:rsidR="003A725A">
        <w:t xml:space="preserve"> This does however not match the name that is currently used, which therefore is confusing. We should therefore at least avoid using the current name (“NR-DC with selective activation of cell groups”) in any specifications. In case there is a need to use the feature name in specifications another name should be selected. Some examples of names that then could be used are:</w:t>
      </w:r>
    </w:p>
    <w:p w14:paraId="73786D4D" w14:textId="6ECBB6A2" w:rsidR="00595AD9" w:rsidRDefault="00595AD9" w:rsidP="00595AD9">
      <w:pPr>
        <w:pStyle w:val="ListParagraph"/>
        <w:numPr>
          <w:ilvl w:val="0"/>
          <w:numId w:val="25"/>
        </w:numPr>
      </w:pPr>
      <w:bookmarkStart w:id="33" w:name="_Hlk127463353"/>
      <w:r>
        <w:t>Enhance</w:t>
      </w:r>
      <w:r>
        <w:rPr>
          <w:lang w:val="en-US"/>
        </w:rPr>
        <w:t>d</w:t>
      </w:r>
      <w:r>
        <w:t xml:space="preserve"> </w:t>
      </w:r>
      <w:r>
        <w:rPr>
          <w:lang w:val="en-US"/>
        </w:rPr>
        <w:t xml:space="preserve">Conditional Reconfiguration </w:t>
      </w:r>
      <w:r>
        <w:t>(</w:t>
      </w:r>
      <w:r>
        <w:rPr>
          <w:lang w:val="en-US"/>
        </w:rPr>
        <w:t>E</w:t>
      </w:r>
      <w:r>
        <w:t>C</w:t>
      </w:r>
      <w:r>
        <w:rPr>
          <w:lang w:val="en-US"/>
        </w:rPr>
        <w:t>R</w:t>
      </w:r>
      <w:r>
        <w:t>)</w:t>
      </w:r>
    </w:p>
    <w:p w14:paraId="56D18C15" w14:textId="4BAAB2F1" w:rsidR="007B5A07" w:rsidRPr="00973698" w:rsidRDefault="007B5A07" w:rsidP="007B5A07">
      <w:pPr>
        <w:pStyle w:val="ListParagraph"/>
        <w:numPr>
          <w:ilvl w:val="0"/>
          <w:numId w:val="25"/>
        </w:numPr>
      </w:pPr>
      <w:r>
        <w:rPr>
          <w:lang w:val="en-US"/>
        </w:rPr>
        <w:t>Enhanced CPAC (</w:t>
      </w:r>
      <w:proofErr w:type="spellStart"/>
      <w:r>
        <w:rPr>
          <w:lang w:val="en-US"/>
        </w:rPr>
        <w:t>eCPAC</w:t>
      </w:r>
      <w:proofErr w:type="spellEnd"/>
      <w:r>
        <w:rPr>
          <w:lang w:val="en-US"/>
        </w:rPr>
        <w:t>)</w:t>
      </w:r>
    </w:p>
    <w:p w14:paraId="0D9CBF7C" w14:textId="3CCC7829" w:rsidR="00DA61EB" w:rsidRDefault="00DA61EB" w:rsidP="003A725A">
      <w:pPr>
        <w:pStyle w:val="ListParagraph"/>
        <w:numPr>
          <w:ilvl w:val="0"/>
          <w:numId w:val="25"/>
        </w:numPr>
      </w:pPr>
      <w:r>
        <w:rPr>
          <w:lang w:val="en-US"/>
        </w:rPr>
        <w:t>Maintained Conditional Reconfigurations (MCR)</w:t>
      </w:r>
      <w:bookmarkEnd w:id="33"/>
    </w:p>
    <w:p w14:paraId="5C94111C" w14:textId="77777777" w:rsidR="003A725A" w:rsidRDefault="003A725A" w:rsidP="003A725A"/>
    <w:p w14:paraId="07FD05C7" w14:textId="43668657" w:rsidR="00A73A8F" w:rsidRPr="00CE0424" w:rsidRDefault="00A73A8F" w:rsidP="00A73A8F">
      <w:pPr>
        <w:pStyle w:val="Observation"/>
      </w:pPr>
      <w:bookmarkStart w:id="34" w:name="_Toc127477257"/>
      <w:r>
        <w:lastRenderedPageBreak/>
        <w:t xml:space="preserve">The name “NR-DC with selective activation of cell groups” </w:t>
      </w:r>
      <w:r w:rsidR="00D62F5F">
        <w:t xml:space="preserve">is confusing and </w:t>
      </w:r>
      <w:r>
        <w:t xml:space="preserve">does not reflect </w:t>
      </w:r>
      <w:r w:rsidR="002D537A">
        <w:t xml:space="preserve">the feature </w:t>
      </w:r>
      <w:r w:rsidR="00D62F5F">
        <w:t xml:space="preserve">(where </w:t>
      </w:r>
      <w:r w:rsidR="002D537A">
        <w:t xml:space="preserve">conditional reconfigurations </w:t>
      </w:r>
      <w:r w:rsidR="00D62F5F">
        <w:t xml:space="preserve">are </w:t>
      </w:r>
      <w:r w:rsidR="002D537A">
        <w:t>kept at cell group changes</w:t>
      </w:r>
      <w:r w:rsidR="00D62F5F">
        <w:t>)</w:t>
      </w:r>
      <w:r>
        <w:t>.</w:t>
      </w:r>
      <w:bookmarkEnd w:id="34"/>
    </w:p>
    <w:p w14:paraId="41541E01" w14:textId="65413A34" w:rsidR="00A73A8F" w:rsidRDefault="00A73A8F" w:rsidP="00A73A8F">
      <w:pPr>
        <w:pStyle w:val="Proposal"/>
      </w:pPr>
      <w:bookmarkStart w:id="35" w:name="_Toc127477277"/>
      <w:r>
        <w:t xml:space="preserve">The name “NR-DC with selective activation of cell groups” </w:t>
      </w:r>
      <w:r w:rsidR="000047D8">
        <w:t xml:space="preserve">(or “NR-DC with selective activation”) </w:t>
      </w:r>
      <w:r>
        <w:t xml:space="preserve">should not be used in </w:t>
      </w:r>
      <w:r w:rsidR="002D537A">
        <w:t>the specifications</w:t>
      </w:r>
      <w:r>
        <w:t>.</w:t>
      </w:r>
      <w:bookmarkEnd w:id="35"/>
    </w:p>
    <w:p w14:paraId="032FFB5C" w14:textId="650A2822" w:rsidR="005A364F" w:rsidRPr="005A364F" w:rsidRDefault="002D537A" w:rsidP="005A364F">
      <w:pPr>
        <w:pStyle w:val="Proposal"/>
      </w:pPr>
      <w:bookmarkStart w:id="36" w:name="_Toc127477278"/>
      <w:r>
        <w:t>RAN2 to discuss whether to change the name of “NR-DC with selective activation of cell groups” to one that can be used in specifications, e.g.:</w:t>
      </w:r>
      <w:r>
        <w:br/>
      </w:r>
      <w:bookmarkStart w:id="37" w:name="_Hlk126667459"/>
      <w:r>
        <w:t xml:space="preserve">- </w:t>
      </w:r>
      <w:r w:rsidR="00CF4619">
        <w:t>Enhance</w:t>
      </w:r>
      <w:r w:rsidR="00CF4619">
        <w:rPr>
          <w:lang w:val="en-US"/>
        </w:rPr>
        <w:t>d</w:t>
      </w:r>
      <w:r w:rsidR="00CF4619">
        <w:t xml:space="preserve"> </w:t>
      </w:r>
      <w:r w:rsidR="00CF4619">
        <w:rPr>
          <w:lang w:val="en-US"/>
        </w:rPr>
        <w:t xml:space="preserve">Conditional Reconfiguration </w:t>
      </w:r>
      <w:r w:rsidR="00CF4619">
        <w:t>(</w:t>
      </w:r>
      <w:r w:rsidR="00CF4619">
        <w:rPr>
          <w:lang w:val="en-US"/>
        </w:rPr>
        <w:t>E</w:t>
      </w:r>
      <w:r w:rsidR="00CF4619">
        <w:t>C</w:t>
      </w:r>
      <w:r w:rsidR="00CF4619">
        <w:rPr>
          <w:lang w:val="en-US"/>
        </w:rPr>
        <w:t>R</w:t>
      </w:r>
      <w:r w:rsidR="00CF4619">
        <w:t>)</w:t>
      </w:r>
      <w:r w:rsidR="005A364F">
        <w:br/>
      </w:r>
      <w:r w:rsidR="005A364F">
        <w:rPr>
          <w:lang w:val="en-US"/>
        </w:rPr>
        <w:t xml:space="preserve">- </w:t>
      </w:r>
      <w:r w:rsidR="00CF4619">
        <w:rPr>
          <w:lang w:val="en-US"/>
        </w:rPr>
        <w:t>Enhanced CPAC (</w:t>
      </w:r>
      <w:proofErr w:type="spellStart"/>
      <w:r w:rsidR="00CF4619">
        <w:rPr>
          <w:lang w:val="en-US"/>
        </w:rPr>
        <w:t>eCPAC</w:t>
      </w:r>
      <w:proofErr w:type="spellEnd"/>
      <w:r w:rsidR="005A364F" w:rsidRPr="005A364F">
        <w:rPr>
          <w:lang w:val="en-US"/>
        </w:rPr>
        <w:t>)</w:t>
      </w:r>
      <w:r w:rsidR="005A364F">
        <w:br/>
      </w:r>
      <w:r w:rsidR="005A364F">
        <w:rPr>
          <w:lang w:val="en-US"/>
        </w:rPr>
        <w:t xml:space="preserve">- </w:t>
      </w:r>
      <w:r w:rsidR="00CF4619">
        <w:rPr>
          <w:lang w:val="en-US"/>
        </w:rPr>
        <w:t>Maintained Conditional Reconfigurations (MCR</w:t>
      </w:r>
      <w:r w:rsidR="005A364F" w:rsidRPr="005A364F">
        <w:rPr>
          <w:lang w:val="en-US"/>
        </w:rPr>
        <w:t>)</w:t>
      </w:r>
      <w:bookmarkEnd w:id="37"/>
      <w:bookmarkEnd w:id="36"/>
    </w:p>
    <w:p w14:paraId="2FFA2A14" w14:textId="77777777" w:rsidR="00A73A8F" w:rsidRPr="00B048FD" w:rsidRDefault="00A73A8F" w:rsidP="00796FFD"/>
    <w:p w14:paraId="20D74898" w14:textId="77777777" w:rsidR="00C01F33" w:rsidRPr="00CE0424" w:rsidRDefault="00C01F33" w:rsidP="00CE0424">
      <w:pPr>
        <w:pStyle w:val="Heading1"/>
      </w:pPr>
      <w:r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CB1662E" w14:textId="4D9927A1" w:rsidR="00B650FA"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27477251" w:history="1">
        <w:r w:rsidR="00B650FA" w:rsidRPr="0089485E">
          <w:rPr>
            <w:rStyle w:val="Hyperlink"/>
            <w:noProof/>
          </w:rPr>
          <w:t>Observation 1</w:t>
        </w:r>
        <w:r w:rsidR="00B650FA">
          <w:rPr>
            <w:rFonts w:asciiTheme="minorHAnsi" w:eastAsiaTheme="minorEastAsia" w:hAnsiTheme="minorHAnsi" w:cstheme="minorBidi"/>
            <w:b w:val="0"/>
            <w:noProof/>
            <w:sz w:val="22"/>
            <w:szCs w:val="22"/>
            <w:lang w:val="en-SE" w:eastAsia="en-SE"/>
          </w:rPr>
          <w:tab/>
        </w:r>
        <w:r w:rsidR="00B650FA" w:rsidRPr="0089485E">
          <w:rPr>
            <w:rStyle w:val="Hyperlink"/>
            <w:noProof/>
          </w:rPr>
          <w:t>There is sometimes a need to update the CPC configurations for a UE, e.g. if the UE is moving into a different area.</w:t>
        </w:r>
      </w:hyperlink>
    </w:p>
    <w:p w14:paraId="4CA9BDB7" w14:textId="0E1908E5" w:rsidR="00B650FA" w:rsidRDefault="00B650F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252" w:history="1">
        <w:r w:rsidRPr="0089485E">
          <w:rPr>
            <w:rStyle w:val="Hyperlink"/>
            <w:noProof/>
          </w:rPr>
          <w:t>Observation 2</w:t>
        </w:r>
        <w:r>
          <w:rPr>
            <w:rFonts w:asciiTheme="minorHAnsi" w:eastAsiaTheme="minorEastAsia" w:hAnsiTheme="minorHAnsi" w:cstheme="minorBidi"/>
            <w:b w:val="0"/>
            <w:noProof/>
            <w:sz w:val="22"/>
            <w:szCs w:val="22"/>
            <w:lang w:val="en-SE" w:eastAsia="en-SE"/>
          </w:rPr>
          <w:tab/>
        </w:r>
        <w:r w:rsidRPr="0089485E">
          <w:rPr>
            <w:rStyle w:val="Hyperlink"/>
            <w:noProof/>
          </w:rPr>
          <w:t>In case of a PSCell change the target SN needs to have the information about the SN initiated CPC configurations that the UE has stored.</w:t>
        </w:r>
      </w:hyperlink>
    </w:p>
    <w:p w14:paraId="26DFE881" w14:textId="7CFD0FC9" w:rsidR="00B650FA" w:rsidRDefault="00B650F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253" w:history="1">
        <w:r w:rsidRPr="0089485E">
          <w:rPr>
            <w:rStyle w:val="Hyperlink"/>
            <w:noProof/>
          </w:rPr>
          <w:t>Observation 3</w:t>
        </w:r>
        <w:r>
          <w:rPr>
            <w:rFonts w:asciiTheme="minorHAnsi" w:eastAsiaTheme="minorEastAsia" w:hAnsiTheme="minorHAnsi" w:cstheme="minorBidi"/>
            <w:b w:val="0"/>
            <w:noProof/>
            <w:sz w:val="22"/>
            <w:szCs w:val="22"/>
            <w:lang w:val="en-SE" w:eastAsia="en-SE"/>
          </w:rPr>
          <w:tab/>
        </w:r>
        <w:r w:rsidRPr="0089485E">
          <w:rPr>
            <w:rStyle w:val="Hyperlink"/>
            <w:noProof/>
          </w:rPr>
          <w:t>In case of an inter-MN PCell handover, it is not possible to use a CPA configuration that was configured by the source MN.</w:t>
        </w:r>
      </w:hyperlink>
    </w:p>
    <w:p w14:paraId="76E75A3A" w14:textId="0884E1CD" w:rsidR="00B650FA" w:rsidRDefault="00B650F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254" w:history="1">
        <w:r w:rsidRPr="0089485E">
          <w:rPr>
            <w:rStyle w:val="Hyperlink"/>
            <w:noProof/>
          </w:rPr>
          <w:t>Observation 4</w:t>
        </w:r>
        <w:r>
          <w:rPr>
            <w:rFonts w:asciiTheme="minorHAnsi" w:eastAsiaTheme="minorEastAsia" w:hAnsiTheme="minorHAnsi" w:cstheme="minorBidi"/>
            <w:b w:val="0"/>
            <w:noProof/>
            <w:sz w:val="22"/>
            <w:szCs w:val="22"/>
            <w:lang w:val="en-SE" w:eastAsia="en-SE"/>
          </w:rPr>
          <w:tab/>
        </w:r>
        <w:r w:rsidRPr="0089485E">
          <w:rPr>
            <w:rStyle w:val="Hyperlink"/>
            <w:noProof/>
          </w:rPr>
          <w:t>If the UE evaluates/executes a stored CPA configuration directly after a normal SCG/PSCell release it will trigger undesired PSCell additions.</w:t>
        </w:r>
      </w:hyperlink>
    </w:p>
    <w:p w14:paraId="247D5A35" w14:textId="17084FE8" w:rsidR="00B650FA" w:rsidRDefault="00B650F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255" w:history="1">
        <w:r w:rsidRPr="0089485E">
          <w:rPr>
            <w:rStyle w:val="Hyperlink"/>
            <w:noProof/>
          </w:rPr>
          <w:t>Observation 5</w:t>
        </w:r>
        <w:r>
          <w:rPr>
            <w:rFonts w:asciiTheme="minorHAnsi" w:eastAsiaTheme="minorEastAsia" w:hAnsiTheme="minorHAnsi" w:cstheme="minorBidi"/>
            <w:b w:val="0"/>
            <w:noProof/>
            <w:sz w:val="22"/>
            <w:szCs w:val="22"/>
            <w:lang w:val="en-SE" w:eastAsia="en-SE"/>
          </w:rPr>
          <w:tab/>
        </w:r>
        <w:r w:rsidRPr="0089485E">
          <w:rPr>
            <w:rStyle w:val="Hyperlink"/>
            <w:noProof/>
          </w:rPr>
          <w:t>For NR-DC with selective activation it is unclear how to handle an intra-SN CPC configuration if the UE performs an inter-SN PSCell change.</w:t>
        </w:r>
      </w:hyperlink>
    </w:p>
    <w:p w14:paraId="77FA75E6" w14:textId="31DF4FA6" w:rsidR="00B650FA" w:rsidRDefault="00B650F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256" w:history="1">
        <w:r w:rsidRPr="0089485E">
          <w:rPr>
            <w:rStyle w:val="Hyperlink"/>
            <w:noProof/>
          </w:rPr>
          <w:t>Observation 6</w:t>
        </w:r>
        <w:r>
          <w:rPr>
            <w:rFonts w:asciiTheme="minorHAnsi" w:eastAsiaTheme="minorEastAsia" w:hAnsiTheme="minorHAnsi" w:cstheme="minorBidi"/>
            <w:b w:val="0"/>
            <w:noProof/>
            <w:sz w:val="22"/>
            <w:szCs w:val="22"/>
            <w:lang w:val="en-SE" w:eastAsia="en-SE"/>
          </w:rPr>
          <w:tab/>
        </w:r>
        <w:r w:rsidRPr="0089485E">
          <w:rPr>
            <w:rStyle w:val="Hyperlink"/>
            <w:noProof/>
          </w:rPr>
          <w:t>For NR-DC with selective activation it is unclear how to handle an inter-SN CPC configuration if the UE performs a PSCell change to a cell in the same SN as the candidate target PSCell in the CPC configuration.</w:t>
        </w:r>
      </w:hyperlink>
    </w:p>
    <w:p w14:paraId="5E89DFCE" w14:textId="040024AD" w:rsidR="00B650FA" w:rsidRDefault="00B650F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257" w:history="1">
        <w:r w:rsidRPr="0089485E">
          <w:rPr>
            <w:rStyle w:val="Hyperlink"/>
            <w:noProof/>
          </w:rPr>
          <w:t>Observation 7</w:t>
        </w:r>
        <w:r>
          <w:rPr>
            <w:rFonts w:asciiTheme="minorHAnsi" w:eastAsiaTheme="minorEastAsia" w:hAnsiTheme="minorHAnsi" w:cstheme="minorBidi"/>
            <w:b w:val="0"/>
            <w:noProof/>
            <w:sz w:val="22"/>
            <w:szCs w:val="22"/>
            <w:lang w:val="en-SE" w:eastAsia="en-SE"/>
          </w:rPr>
          <w:tab/>
        </w:r>
        <w:r w:rsidRPr="0089485E">
          <w:rPr>
            <w:rStyle w:val="Hyperlink"/>
            <w:noProof/>
          </w:rPr>
          <w:t>The name “NR-DC with selective activation of cell groups” is confusing and does not reflect the feature (where conditional reconfigurations are kept at cell group changes).</w:t>
        </w:r>
      </w:hyperlink>
    </w:p>
    <w:p w14:paraId="7570C759" w14:textId="6A5BC75D" w:rsidR="006E1C82" w:rsidRDefault="006F6582" w:rsidP="008E065E">
      <w:pPr>
        <w:pStyle w:val="BodyText"/>
        <w:rPr>
          <w:b/>
          <w:bCs/>
        </w:rPr>
      </w:pPr>
      <w:r>
        <w:rPr>
          <w:b/>
          <w:bCs/>
        </w:rPr>
        <w:fldChar w:fldCharType="end"/>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B06261E" w14:textId="7CAEA28B" w:rsidR="00B650FA"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7477258" w:history="1">
        <w:r w:rsidR="00B650FA" w:rsidRPr="00A65A6A">
          <w:rPr>
            <w:rStyle w:val="Hyperlink"/>
            <w:noProof/>
          </w:rPr>
          <w:t>Proposal 1</w:t>
        </w:r>
        <w:r w:rsidR="00B650FA">
          <w:rPr>
            <w:rFonts w:asciiTheme="minorHAnsi" w:eastAsiaTheme="minorEastAsia" w:hAnsiTheme="minorHAnsi" w:cstheme="minorBidi"/>
            <w:b w:val="0"/>
            <w:noProof/>
            <w:sz w:val="22"/>
            <w:szCs w:val="22"/>
            <w:lang w:val="en-SE" w:eastAsia="en-SE"/>
          </w:rPr>
          <w:tab/>
        </w:r>
        <w:r w:rsidR="00B650FA" w:rsidRPr="00A65A6A">
          <w:rPr>
            <w:rStyle w:val="Hyperlink"/>
            <w:noProof/>
          </w:rPr>
          <w:t>It should be possible for the network to indicate to the UE whether to keep or release stored CPC configurations when performing a cell group change.</w:t>
        </w:r>
      </w:hyperlink>
    </w:p>
    <w:p w14:paraId="25F11B6D" w14:textId="2AEBEE6F" w:rsidR="00B650FA" w:rsidRDefault="00B650F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259" w:history="1">
        <w:r w:rsidRPr="00A65A6A">
          <w:rPr>
            <w:rStyle w:val="Hyperlink"/>
            <w:noProof/>
          </w:rPr>
          <w:t>Proposal 2</w:t>
        </w:r>
        <w:r>
          <w:rPr>
            <w:rFonts w:asciiTheme="minorHAnsi" w:eastAsiaTheme="minorEastAsia" w:hAnsiTheme="minorHAnsi" w:cstheme="minorBidi"/>
            <w:b w:val="0"/>
            <w:noProof/>
            <w:sz w:val="22"/>
            <w:szCs w:val="22"/>
            <w:lang w:val="en-SE" w:eastAsia="en-SE"/>
          </w:rPr>
          <w:tab/>
        </w:r>
        <w:r w:rsidRPr="00A65A6A">
          <w:rPr>
            <w:rStyle w:val="Hyperlink"/>
            <w:noProof/>
          </w:rPr>
          <w:t>It should be possible for the network to indicate to the UE whether a conditional configuration, that is kept after a cell group change, should be considered as applicable or not. A conditional configuration that is considered as not applicable should not be evaluated by the UE, or at least not be executed in case the conditions are fulfilled.</w:t>
        </w:r>
      </w:hyperlink>
    </w:p>
    <w:p w14:paraId="2DB5E5DD" w14:textId="4642482B" w:rsidR="00B650FA" w:rsidRDefault="00B650F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260" w:history="1">
        <w:r w:rsidRPr="00A65A6A">
          <w:rPr>
            <w:rStyle w:val="Hyperlink"/>
            <w:noProof/>
          </w:rPr>
          <w:t>Proposal 3</w:t>
        </w:r>
        <w:r>
          <w:rPr>
            <w:rFonts w:asciiTheme="minorHAnsi" w:eastAsiaTheme="minorEastAsia" w:hAnsiTheme="minorHAnsi" w:cstheme="minorBidi"/>
            <w:b w:val="0"/>
            <w:noProof/>
            <w:sz w:val="22"/>
            <w:szCs w:val="22"/>
            <w:lang w:val="en-SE" w:eastAsia="en-SE"/>
          </w:rPr>
          <w:tab/>
        </w:r>
        <w:r w:rsidRPr="00A65A6A">
          <w:rPr>
            <w:rStyle w:val="Hyperlink"/>
            <w:noProof/>
          </w:rPr>
          <w:t>The UE should keep (i.e. not release) a stored CPC configuration after cell group change, and in that case whether it should be considered applicable, based on information received before the cell group change, e.g. in the CPC configuration or PSCell change configuration that triggered the cell group change.</w:t>
        </w:r>
      </w:hyperlink>
    </w:p>
    <w:p w14:paraId="36400AC7" w14:textId="1D224250" w:rsidR="00B650FA" w:rsidRDefault="00B650F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261" w:history="1">
        <w:r w:rsidRPr="00A65A6A">
          <w:rPr>
            <w:rStyle w:val="Hyperlink"/>
            <w:noProof/>
          </w:rPr>
          <w:t>Proposal 4</w:t>
        </w:r>
        <w:r>
          <w:rPr>
            <w:rFonts w:asciiTheme="minorHAnsi" w:eastAsiaTheme="minorEastAsia" w:hAnsiTheme="minorHAnsi" w:cstheme="minorBidi"/>
            <w:b w:val="0"/>
            <w:noProof/>
            <w:sz w:val="22"/>
            <w:szCs w:val="22"/>
            <w:lang w:val="en-SE" w:eastAsia="en-SE"/>
          </w:rPr>
          <w:tab/>
        </w:r>
        <w:r w:rsidRPr="00A65A6A">
          <w:rPr>
            <w:rStyle w:val="Hyperlink"/>
            <w:noProof/>
          </w:rPr>
          <w:t>In case of an inter-SN PSCell change the MN should inform the target SN about which SN initiated CPC configurations that the UE has stored.</w:t>
        </w:r>
      </w:hyperlink>
    </w:p>
    <w:p w14:paraId="51EA56AC" w14:textId="0726B2CF" w:rsidR="00B650FA" w:rsidRDefault="00B650F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262" w:history="1">
        <w:r w:rsidRPr="00A65A6A">
          <w:rPr>
            <w:rStyle w:val="Hyperlink"/>
            <w:noProof/>
          </w:rPr>
          <w:t>Proposal 5</w:t>
        </w:r>
        <w:r>
          <w:rPr>
            <w:rFonts w:asciiTheme="minorHAnsi" w:eastAsiaTheme="minorEastAsia" w:hAnsiTheme="minorHAnsi" w:cstheme="minorBidi"/>
            <w:b w:val="0"/>
            <w:noProof/>
            <w:sz w:val="22"/>
            <w:szCs w:val="22"/>
            <w:lang w:val="en-SE" w:eastAsia="en-SE"/>
          </w:rPr>
          <w:tab/>
        </w:r>
        <w:r w:rsidRPr="00A65A6A">
          <w:rPr>
            <w:rStyle w:val="Hyperlink"/>
            <w:noProof/>
          </w:rPr>
          <w:t xml:space="preserve">When the CPC configuration (including execution conditions) is stored after cell group change, the UE should keep the corresponding conditional </w:t>
        </w:r>
        <w:r w:rsidRPr="00A65A6A">
          <w:rPr>
            <w:rStyle w:val="Hyperlink"/>
            <w:i/>
            <w:iCs/>
            <w:noProof/>
          </w:rPr>
          <w:t>measConfig</w:t>
        </w:r>
        <w:r w:rsidRPr="00A65A6A">
          <w:rPr>
            <w:rStyle w:val="Hyperlink"/>
            <w:noProof/>
          </w:rPr>
          <w:t>.</w:t>
        </w:r>
      </w:hyperlink>
    </w:p>
    <w:p w14:paraId="260BF148" w14:textId="716CB7D0" w:rsidR="00B650FA" w:rsidRDefault="00B650F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263" w:history="1">
        <w:r w:rsidRPr="00A65A6A">
          <w:rPr>
            <w:rStyle w:val="Hyperlink"/>
            <w:noProof/>
          </w:rPr>
          <w:t>Proposal 6</w:t>
        </w:r>
        <w:r>
          <w:rPr>
            <w:rFonts w:asciiTheme="minorHAnsi" w:eastAsiaTheme="minorEastAsia" w:hAnsiTheme="minorHAnsi" w:cstheme="minorBidi"/>
            <w:b w:val="0"/>
            <w:noProof/>
            <w:sz w:val="22"/>
            <w:szCs w:val="22"/>
            <w:lang w:val="en-SE" w:eastAsia="en-SE"/>
          </w:rPr>
          <w:tab/>
        </w:r>
        <w:r w:rsidRPr="00A65A6A">
          <w:rPr>
            <w:rStyle w:val="Hyperlink"/>
            <w:noProof/>
          </w:rPr>
          <w:t xml:space="preserve">The MN should, at PSCell change procedures, provide the execution conditions and the related conditional </w:t>
        </w:r>
        <w:r w:rsidRPr="00A65A6A">
          <w:rPr>
            <w:rStyle w:val="Hyperlink"/>
            <w:i/>
            <w:iCs/>
            <w:noProof/>
          </w:rPr>
          <w:t>measConfig</w:t>
        </w:r>
        <w:r w:rsidRPr="00A65A6A">
          <w:rPr>
            <w:rStyle w:val="Hyperlink"/>
            <w:noProof/>
          </w:rPr>
          <w:t xml:space="preserve"> for SN initiated CPC configurations to the </w:t>
        </w:r>
        <w:r w:rsidRPr="00A65A6A">
          <w:rPr>
            <w:rStyle w:val="Hyperlink"/>
            <w:noProof/>
          </w:rPr>
          <w:lastRenderedPageBreak/>
          <w:t>target SN (together with the information about which SN initiated CPC configurations the UE has stored).</w:t>
        </w:r>
      </w:hyperlink>
    </w:p>
    <w:p w14:paraId="3334271B" w14:textId="62F77FFC" w:rsidR="00B650FA" w:rsidRDefault="00B650F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264" w:history="1">
        <w:r w:rsidRPr="00A65A6A">
          <w:rPr>
            <w:rStyle w:val="Hyperlink"/>
            <w:noProof/>
          </w:rPr>
          <w:t>Proposal 7</w:t>
        </w:r>
        <w:r>
          <w:rPr>
            <w:rFonts w:asciiTheme="minorHAnsi" w:eastAsiaTheme="minorEastAsia" w:hAnsiTheme="minorHAnsi" w:cstheme="minorBidi"/>
            <w:b w:val="0"/>
            <w:noProof/>
            <w:sz w:val="22"/>
            <w:szCs w:val="22"/>
            <w:lang w:val="en-SE" w:eastAsia="en-SE"/>
          </w:rPr>
          <w:tab/>
        </w:r>
        <w:r w:rsidRPr="00A65A6A">
          <w:rPr>
            <w:rStyle w:val="Hyperlink"/>
            <w:noProof/>
          </w:rPr>
          <w:t>It should be possible for the network to indicate whether stored CPA configurations should be kept by the UE at a PCell handover.</w:t>
        </w:r>
      </w:hyperlink>
    </w:p>
    <w:p w14:paraId="72CD0960" w14:textId="2E106592" w:rsidR="00B650FA" w:rsidRDefault="00B650F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265" w:history="1">
        <w:r w:rsidRPr="00A65A6A">
          <w:rPr>
            <w:rStyle w:val="Hyperlink"/>
            <w:noProof/>
          </w:rPr>
          <w:t>Proposal 8</w:t>
        </w:r>
        <w:r>
          <w:rPr>
            <w:rFonts w:asciiTheme="minorHAnsi" w:eastAsiaTheme="minorEastAsia" w:hAnsiTheme="minorHAnsi" w:cstheme="minorBidi"/>
            <w:b w:val="0"/>
            <w:noProof/>
            <w:sz w:val="22"/>
            <w:szCs w:val="22"/>
            <w:lang w:val="en-SE" w:eastAsia="en-SE"/>
          </w:rPr>
          <w:tab/>
        </w:r>
        <w:r w:rsidRPr="00A65A6A">
          <w:rPr>
            <w:rStyle w:val="Hyperlink"/>
            <w:noProof/>
          </w:rPr>
          <w:t>It should be possible for the network to indicate whether a stored CPA configurations should be kept by the UE at SCG setup and at SCG release, and whether a kept CPA configuration then should be considered as applicable or not, i.e. whether the UE should evaluate the CPA configuration and execute it if the conditions are fulfilled.</w:t>
        </w:r>
      </w:hyperlink>
    </w:p>
    <w:p w14:paraId="3EEDAE86" w14:textId="3AA558C7" w:rsidR="00B650FA" w:rsidRDefault="00B650F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266" w:history="1">
        <w:r w:rsidRPr="00A65A6A">
          <w:rPr>
            <w:rStyle w:val="Hyperlink"/>
            <w:noProof/>
          </w:rPr>
          <w:t>Proposal 9</w:t>
        </w:r>
        <w:r>
          <w:rPr>
            <w:rFonts w:asciiTheme="minorHAnsi" w:eastAsiaTheme="minorEastAsia" w:hAnsiTheme="minorHAnsi" w:cstheme="minorBidi"/>
            <w:b w:val="0"/>
            <w:noProof/>
            <w:sz w:val="22"/>
            <w:szCs w:val="22"/>
            <w:lang w:val="en-SE" w:eastAsia="en-SE"/>
          </w:rPr>
          <w:tab/>
        </w:r>
        <w:r w:rsidRPr="00A65A6A">
          <w:rPr>
            <w:rStyle w:val="Hyperlink"/>
            <w:noProof/>
          </w:rPr>
          <w:t>Both intra-SN and inter-SN Conditional PSCell Changes should be targeted in the Rel-18 work.</w:t>
        </w:r>
      </w:hyperlink>
    </w:p>
    <w:p w14:paraId="3F4D0DE4" w14:textId="15D5F32A" w:rsidR="00B650FA" w:rsidRDefault="00B650F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267" w:history="1">
        <w:r w:rsidRPr="00A65A6A">
          <w:rPr>
            <w:rStyle w:val="Hyperlink"/>
            <w:noProof/>
          </w:rPr>
          <w:t>Proposal 10</w:t>
        </w:r>
        <w:r>
          <w:rPr>
            <w:rFonts w:asciiTheme="minorHAnsi" w:eastAsiaTheme="minorEastAsia" w:hAnsiTheme="minorHAnsi" w:cstheme="minorBidi"/>
            <w:b w:val="0"/>
            <w:noProof/>
            <w:sz w:val="22"/>
            <w:szCs w:val="22"/>
            <w:lang w:val="en-SE" w:eastAsia="en-SE"/>
          </w:rPr>
          <w:tab/>
        </w:r>
        <w:r w:rsidRPr="00A65A6A">
          <w:rPr>
            <w:rStyle w:val="Hyperlink"/>
            <w:noProof/>
          </w:rPr>
          <w:t>SN initiated inter-SN Conditional PSCell Changes should be supported in the Rel-18 solution.</w:t>
        </w:r>
      </w:hyperlink>
    </w:p>
    <w:p w14:paraId="0A1ABB0C" w14:textId="28F8110A" w:rsidR="00B650FA" w:rsidRDefault="00B650F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268" w:history="1">
        <w:r w:rsidRPr="00A65A6A">
          <w:rPr>
            <w:rStyle w:val="Hyperlink"/>
            <w:noProof/>
          </w:rPr>
          <w:t>Proposal 11</w:t>
        </w:r>
        <w:r>
          <w:rPr>
            <w:rFonts w:asciiTheme="minorHAnsi" w:eastAsiaTheme="minorEastAsia" w:hAnsiTheme="minorHAnsi" w:cstheme="minorBidi"/>
            <w:b w:val="0"/>
            <w:noProof/>
            <w:sz w:val="22"/>
            <w:szCs w:val="22"/>
            <w:lang w:val="en-SE" w:eastAsia="en-SE"/>
          </w:rPr>
          <w:tab/>
        </w:r>
        <w:r w:rsidRPr="00A65A6A">
          <w:rPr>
            <w:rStyle w:val="Hyperlink"/>
            <w:noProof/>
          </w:rPr>
          <w:t>In case MN initiated inter-SN CPC is to be targeted in the Rel-18 work, A3/A5 events where the candidate target PSCell is compared with the current/serving PSCell should be supported for MN initiated inter-SN CPC.</w:t>
        </w:r>
      </w:hyperlink>
    </w:p>
    <w:p w14:paraId="3E867F52" w14:textId="0D2E7508" w:rsidR="00B650FA" w:rsidRDefault="00B650F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269" w:history="1">
        <w:r w:rsidRPr="00A65A6A">
          <w:rPr>
            <w:rStyle w:val="Hyperlink"/>
            <w:noProof/>
          </w:rPr>
          <w:t>Proposal 12</w:t>
        </w:r>
        <w:r>
          <w:rPr>
            <w:rFonts w:asciiTheme="minorHAnsi" w:eastAsiaTheme="minorEastAsia" w:hAnsiTheme="minorHAnsi" w:cstheme="minorBidi"/>
            <w:b w:val="0"/>
            <w:noProof/>
            <w:sz w:val="22"/>
            <w:szCs w:val="22"/>
            <w:lang w:val="en-SE" w:eastAsia="en-SE"/>
          </w:rPr>
          <w:tab/>
        </w:r>
        <w:r w:rsidRPr="00A65A6A">
          <w:rPr>
            <w:rStyle w:val="Hyperlink"/>
            <w:noProof/>
          </w:rPr>
          <w:t>In case the UE performs an inter-SN PSCell change, it should release any Rel-16 intra-SN CPC configurations.</w:t>
        </w:r>
      </w:hyperlink>
    </w:p>
    <w:p w14:paraId="48CF3CF6" w14:textId="70BC658C" w:rsidR="00B650FA" w:rsidRDefault="00B650F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270" w:history="1">
        <w:r w:rsidRPr="00A65A6A">
          <w:rPr>
            <w:rStyle w:val="Hyperlink"/>
            <w:noProof/>
          </w:rPr>
          <w:t>Proposal 13</w:t>
        </w:r>
        <w:r>
          <w:rPr>
            <w:rFonts w:asciiTheme="minorHAnsi" w:eastAsiaTheme="minorEastAsia" w:hAnsiTheme="minorHAnsi" w:cstheme="minorBidi"/>
            <w:b w:val="0"/>
            <w:noProof/>
            <w:sz w:val="22"/>
            <w:szCs w:val="22"/>
            <w:lang w:val="en-SE" w:eastAsia="en-SE"/>
          </w:rPr>
          <w:tab/>
        </w:r>
        <w:r w:rsidRPr="00A65A6A">
          <w:rPr>
            <w:rStyle w:val="Hyperlink"/>
            <w:noProof/>
          </w:rPr>
          <w:t>For NR-DC with selective activation, it should be supported to configure CPC for an intra-SN candidate target PSCell using the Rel-17 inter-SN CPC solution, i.e. to configure it in MN format.</w:t>
        </w:r>
      </w:hyperlink>
    </w:p>
    <w:p w14:paraId="516290D8" w14:textId="73B61B21" w:rsidR="00B650FA" w:rsidRDefault="00B650F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271" w:history="1">
        <w:r w:rsidRPr="00A65A6A">
          <w:rPr>
            <w:rStyle w:val="Hyperlink"/>
            <w:noProof/>
          </w:rPr>
          <w:t>Proposal 14</w:t>
        </w:r>
        <w:r>
          <w:rPr>
            <w:rFonts w:asciiTheme="minorHAnsi" w:eastAsiaTheme="minorEastAsia" w:hAnsiTheme="minorHAnsi" w:cstheme="minorBidi"/>
            <w:b w:val="0"/>
            <w:noProof/>
            <w:sz w:val="22"/>
            <w:szCs w:val="22"/>
            <w:lang w:val="en-SE" w:eastAsia="en-SE"/>
          </w:rPr>
          <w:tab/>
        </w:r>
        <w:r w:rsidRPr="00A65A6A">
          <w:rPr>
            <w:rStyle w:val="Hyperlink"/>
            <w:noProof/>
          </w:rPr>
          <w:t xml:space="preserve">The reference configuration for NR-DC with selective activation should consist of an </w:t>
        </w:r>
        <w:r w:rsidRPr="00A65A6A">
          <w:rPr>
            <w:rStyle w:val="Hyperlink"/>
            <w:i/>
            <w:iCs/>
            <w:noProof/>
          </w:rPr>
          <w:t>RRCReconfiguration</w:t>
        </w:r>
        <w:r w:rsidRPr="00A65A6A">
          <w:rPr>
            <w:rStyle w:val="Hyperlink"/>
            <w:noProof/>
          </w:rPr>
          <w:t xml:space="preserve"> message. FFS whether multiple reference configurations are needed.</w:t>
        </w:r>
      </w:hyperlink>
    </w:p>
    <w:p w14:paraId="4D5B8263" w14:textId="0BABA3C3" w:rsidR="00B650FA" w:rsidRDefault="00B650F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272" w:history="1">
        <w:r w:rsidRPr="00A65A6A">
          <w:rPr>
            <w:rStyle w:val="Hyperlink"/>
            <w:noProof/>
          </w:rPr>
          <w:t>Proposal 15</w:t>
        </w:r>
        <w:r>
          <w:rPr>
            <w:rFonts w:asciiTheme="minorHAnsi" w:eastAsiaTheme="minorEastAsia" w:hAnsiTheme="minorHAnsi" w:cstheme="minorBidi"/>
            <w:b w:val="0"/>
            <w:noProof/>
            <w:sz w:val="22"/>
            <w:szCs w:val="22"/>
            <w:lang w:val="en-SE" w:eastAsia="en-SE"/>
          </w:rPr>
          <w:tab/>
        </w:r>
        <w:r w:rsidRPr="00A65A6A">
          <w:rPr>
            <w:rStyle w:val="Hyperlink"/>
            <w:noProof/>
          </w:rPr>
          <w:t>The reference configuration IE/field for candidate cell configurations, for NR-DC with selective activation, is optional. It is up to the network to provide a reference configuration to the UE.</w:t>
        </w:r>
      </w:hyperlink>
    </w:p>
    <w:p w14:paraId="4AA5FA96" w14:textId="2EEBDDD1" w:rsidR="00B650FA" w:rsidRDefault="00B650F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273" w:history="1">
        <w:r w:rsidRPr="00A65A6A">
          <w:rPr>
            <w:rStyle w:val="Hyperlink"/>
            <w:noProof/>
          </w:rPr>
          <w:t>Proposal 16</w:t>
        </w:r>
        <w:r>
          <w:rPr>
            <w:rFonts w:asciiTheme="minorHAnsi" w:eastAsiaTheme="minorEastAsia" w:hAnsiTheme="minorHAnsi" w:cstheme="minorBidi"/>
            <w:b w:val="0"/>
            <w:noProof/>
            <w:sz w:val="22"/>
            <w:szCs w:val="22"/>
            <w:lang w:val="en-SE" w:eastAsia="en-SE"/>
          </w:rPr>
          <w:tab/>
        </w:r>
        <w:r w:rsidRPr="00A65A6A">
          <w:rPr>
            <w:rStyle w:val="Hyperlink"/>
            <w:noProof/>
          </w:rPr>
          <w:t>The UE, when receiving a candidate target cell configuration for NR-DC with selective activation, should be aware whether it is a delta configuration on top of a reference configuration or if it is a full configuration.</w:t>
        </w:r>
      </w:hyperlink>
    </w:p>
    <w:p w14:paraId="5C8B388A" w14:textId="633F4867" w:rsidR="00B650FA" w:rsidRDefault="00B650F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274" w:history="1">
        <w:r w:rsidRPr="00A65A6A">
          <w:rPr>
            <w:rStyle w:val="Hyperlink"/>
            <w:noProof/>
          </w:rPr>
          <w:t>Proposal 17</w:t>
        </w:r>
        <w:r>
          <w:rPr>
            <w:rFonts w:asciiTheme="minorHAnsi" w:eastAsiaTheme="minorEastAsia" w:hAnsiTheme="minorHAnsi" w:cstheme="minorBidi"/>
            <w:b w:val="0"/>
            <w:noProof/>
            <w:sz w:val="22"/>
            <w:szCs w:val="22"/>
            <w:lang w:val="en-SE" w:eastAsia="en-SE"/>
          </w:rPr>
          <w:tab/>
        </w:r>
        <w:r w:rsidRPr="00A65A6A">
          <w:rPr>
            <w:rStyle w:val="Hyperlink"/>
            <w:noProof/>
          </w:rPr>
          <w:t>The reference configuration can be added, modified or released by the network.</w:t>
        </w:r>
      </w:hyperlink>
    </w:p>
    <w:p w14:paraId="6404DD1F" w14:textId="053E54D0" w:rsidR="00B650FA" w:rsidRDefault="00B650F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275" w:history="1">
        <w:r w:rsidRPr="00A65A6A">
          <w:rPr>
            <w:rStyle w:val="Hyperlink"/>
            <w:noProof/>
          </w:rPr>
          <w:t>Proposal 18</w:t>
        </w:r>
        <w:r>
          <w:rPr>
            <w:rFonts w:asciiTheme="minorHAnsi" w:eastAsiaTheme="minorEastAsia" w:hAnsiTheme="minorHAnsi" w:cstheme="minorBidi"/>
            <w:b w:val="0"/>
            <w:noProof/>
            <w:sz w:val="22"/>
            <w:szCs w:val="22"/>
            <w:lang w:val="en-SE" w:eastAsia="en-SE"/>
          </w:rPr>
          <w:tab/>
        </w:r>
        <w:r w:rsidRPr="00A65A6A">
          <w:rPr>
            <w:rStyle w:val="Hyperlink"/>
            <w:noProof/>
          </w:rPr>
          <w:t>It should be possible to have a CPC configuration for the serving PSCell, i.e. where the current serving PSCell is the candidate target PSCell.</w:t>
        </w:r>
      </w:hyperlink>
    </w:p>
    <w:p w14:paraId="29A3EA0C" w14:textId="4DE38796" w:rsidR="00B650FA" w:rsidRDefault="00B650F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276" w:history="1">
        <w:r w:rsidRPr="00A65A6A">
          <w:rPr>
            <w:rStyle w:val="Hyperlink"/>
            <w:noProof/>
          </w:rPr>
          <w:t>Proposal 19</w:t>
        </w:r>
        <w:r>
          <w:rPr>
            <w:rFonts w:asciiTheme="minorHAnsi" w:eastAsiaTheme="minorEastAsia" w:hAnsiTheme="minorHAnsi" w:cstheme="minorBidi"/>
            <w:b w:val="0"/>
            <w:noProof/>
            <w:sz w:val="22"/>
            <w:szCs w:val="22"/>
            <w:lang w:val="en-SE" w:eastAsia="en-SE"/>
          </w:rPr>
          <w:tab/>
        </w:r>
        <w:r w:rsidRPr="00A65A6A">
          <w:rPr>
            <w:rStyle w:val="Hyperlink"/>
            <w:noProof/>
          </w:rPr>
          <w:t>A CPC configuration where the candidate target PSCell is the same as the current serving PSCell should not be evaluated, or at least not executed, by the UE.</w:t>
        </w:r>
      </w:hyperlink>
    </w:p>
    <w:p w14:paraId="10568489" w14:textId="0FA03E19" w:rsidR="00B650FA" w:rsidRDefault="00B650F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277" w:history="1">
        <w:r w:rsidRPr="00A65A6A">
          <w:rPr>
            <w:rStyle w:val="Hyperlink"/>
            <w:noProof/>
          </w:rPr>
          <w:t>Proposal 20</w:t>
        </w:r>
        <w:r>
          <w:rPr>
            <w:rFonts w:asciiTheme="minorHAnsi" w:eastAsiaTheme="minorEastAsia" w:hAnsiTheme="minorHAnsi" w:cstheme="minorBidi"/>
            <w:b w:val="0"/>
            <w:noProof/>
            <w:sz w:val="22"/>
            <w:szCs w:val="22"/>
            <w:lang w:val="en-SE" w:eastAsia="en-SE"/>
          </w:rPr>
          <w:tab/>
        </w:r>
        <w:r w:rsidRPr="00A65A6A">
          <w:rPr>
            <w:rStyle w:val="Hyperlink"/>
            <w:noProof/>
          </w:rPr>
          <w:t>The name “NR-DC with selective activation of cell groups” (or “NR-DC with selective activation”) should not be used in the specifications.</w:t>
        </w:r>
      </w:hyperlink>
    </w:p>
    <w:p w14:paraId="62273BC2" w14:textId="37F71C98" w:rsidR="00B650FA" w:rsidRDefault="00B650F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278" w:history="1">
        <w:r w:rsidRPr="00A65A6A">
          <w:rPr>
            <w:rStyle w:val="Hyperlink"/>
            <w:noProof/>
          </w:rPr>
          <w:t>Proposal 21</w:t>
        </w:r>
        <w:r>
          <w:rPr>
            <w:rFonts w:asciiTheme="minorHAnsi" w:eastAsiaTheme="minorEastAsia" w:hAnsiTheme="minorHAnsi" w:cstheme="minorBidi"/>
            <w:b w:val="0"/>
            <w:noProof/>
            <w:sz w:val="22"/>
            <w:szCs w:val="22"/>
            <w:lang w:val="en-SE" w:eastAsia="en-SE"/>
          </w:rPr>
          <w:tab/>
        </w:r>
        <w:r w:rsidRPr="00A65A6A">
          <w:rPr>
            <w:rStyle w:val="Hyperlink"/>
            <w:noProof/>
          </w:rPr>
          <w:t>RAN2 to discuss whether to change the name of “NR-DC with selective activation of cell groups” to one that can be used in specifications, e.g.: - Enhance</w:t>
        </w:r>
        <w:r w:rsidRPr="00A65A6A">
          <w:rPr>
            <w:rStyle w:val="Hyperlink"/>
            <w:noProof/>
            <w:lang w:val="en-US"/>
          </w:rPr>
          <w:t>d</w:t>
        </w:r>
        <w:r w:rsidRPr="00A65A6A">
          <w:rPr>
            <w:rStyle w:val="Hyperlink"/>
            <w:noProof/>
          </w:rPr>
          <w:t xml:space="preserve"> </w:t>
        </w:r>
        <w:r w:rsidRPr="00A65A6A">
          <w:rPr>
            <w:rStyle w:val="Hyperlink"/>
            <w:noProof/>
            <w:lang w:val="en-US"/>
          </w:rPr>
          <w:t xml:space="preserve">Conditional Reconfiguration </w:t>
        </w:r>
        <w:r w:rsidRPr="00A65A6A">
          <w:rPr>
            <w:rStyle w:val="Hyperlink"/>
            <w:noProof/>
          </w:rPr>
          <w:t>(</w:t>
        </w:r>
        <w:r w:rsidRPr="00A65A6A">
          <w:rPr>
            <w:rStyle w:val="Hyperlink"/>
            <w:noProof/>
            <w:lang w:val="en-US"/>
          </w:rPr>
          <w:t>E</w:t>
        </w:r>
        <w:r w:rsidRPr="00A65A6A">
          <w:rPr>
            <w:rStyle w:val="Hyperlink"/>
            <w:noProof/>
          </w:rPr>
          <w:t>C</w:t>
        </w:r>
        <w:r w:rsidRPr="00A65A6A">
          <w:rPr>
            <w:rStyle w:val="Hyperlink"/>
            <w:noProof/>
            <w:lang w:val="en-US"/>
          </w:rPr>
          <w:t>R</w:t>
        </w:r>
        <w:r w:rsidRPr="00A65A6A">
          <w:rPr>
            <w:rStyle w:val="Hyperlink"/>
            <w:noProof/>
          </w:rPr>
          <w:t xml:space="preserve">) </w:t>
        </w:r>
        <w:r w:rsidRPr="00A65A6A">
          <w:rPr>
            <w:rStyle w:val="Hyperlink"/>
            <w:noProof/>
            <w:lang w:val="en-US"/>
          </w:rPr>
          <w:t>- Enhanced CPAC (eCPAC)</w:t>
        </w:r>
        <w:r w:rsidRPr="00A65A6A">
          <w:rPr>
            <w:rStyle w:val="Hyperlink"/>
            <w:noProof/>
          </w:rPr>
          <w:t xml:space="preserve"> </w:t>
        </w:r>
        <w:r w:rsidRPr="00A65A6A">
          <w:rPr>
            <w:rStyle w:val="Hyperlink"/>
            <w:noProof/>
            <w:lang w:val="en-US"/>
          </w:rPr>
          <w:t>- Maintained Conditional Reconfigurations (MCR)</w:t>
        </w:r>
      </w:hyperlink>
    </w:p>
    <w:p w14:paraId="0307436E" w14:textId="162C5FF7" w:rsidR="006E1C82" w:rsidRPr="00CE0424" w:rsidRDefault="006E1C82" w:rsidP="006E1C82">
      <w:pPr>
        <w:pStyle w:val="BodyText"/>
        <w:rPr>
          <w:b/>
          <w:bCs/>
        </w:rPr>
      </w:pPr>
      <w:r>
        <w:rPr>
          <w:b/>
          <w:bCs/>
          <w:lang w:val="en-US"/>
        </w:rPr>
        <w:fldChar w:fldCharType="end"/>
      </w:r>
      <w:r w:rsidRPr="00CE0424">
        <w:rPr>
          <w:b/>
          <w:bCs/>
        </w:rPr>
        <w:t xml:space="preserve"> </w:t>
      </w:r>
    </w:p>
    <w:p w14:paraId="7BD5CFC3" w14:textId="77777777" w:rsidR="00F507D1" w:rsidRPr="00CE0424" w:rsidRDefault="00F507D1" w:rsidP="00CE0424">
      <w:pPr>
        <w:pStyle w:val="Heading1"/>
      </w:pPr>
      <w:bookmarkStart w:id="38" w:name="_In-sequence_SDU_delivery"/>
      <w:bookmarkEnd w:id="38"/>
      <w:r w:rsidRPr="00CE0424">
        <w:t>References</w:t>
      </w:r>
    </w:p>
    <w:p w14:paraId="5DCC939F" w14:textId="1DF76561" w:rsidR="003A7EF3" w:rsidRPr="00CE0424" w:rsidRDefault="009F161B" w:rsidP="00CE0424">
      <w:pPr>
        <w:pStyle w:val="Reference"/>
      </w:pPr>
      <w:bookmarkStart w:id="39" w:name="_Ref107489175"/>
      <w:bookmarkStart w:id="40" w:name="_Ref174151459"/>
      <w:bookmarkStart w:id="41" w:name="_Ref189809556"/>
      <w:r w:rsidRPr="009F161B">
        <w:t>RP-223520</w:t>
      </w:r>
      <w:r w:rsidR="005F3025" w:rsidRPr="00CE0424">
        <w:t xml:space="preserve">, </w:t>
      </w:r>
      <w:r w:rsidR="00FD4266" w:rsidRPr="00FD4266">
        <w:t>Revised WID on Further NR mobility enhancements</w:t>
      </w:r>
      <w:r w:rsidR="005F3025" w:rsidRPr="00CE0424">
        <w:t xml:space="preserve">, </w:t>
      </w:r>
      <w:r w:rsidR="00FD4266" w:rsidRPr="00FD4266">
        <w:t>MediaTek Inc.</w:t>
      </w:r>
      <w:r w:rsidR="005F3025" w:rsidRPr="00CE0424">
        <w:t>,</w:t>
      </w:r>
      <w:r>
        <w:t xml:space="preserve"> Apple,</w:t>
      </w:r>
      <w:r w:rsidR="005F3025" w:rsidRPr="00CE0424">
        <w:t xml:space="preserve"> </w:t>
      </w:r>
      <w:r w:rsidR="00FD4266" w:rsidRPr="00FD4266">
        <w:t>3GPP TSG RAN Meeting #9</w:t>
      </w:r>
      <w:r>
        <w:t>8-e</w:t>
      </w:r>
      <w:r w:rsidR="005F3025" w:rsidRPr="00CE0424">
        <w:t xml:space="preserve">, </w:t>
      </w:r>
      <w:r>
        <w:t>December 12</w:t>
      </w:r>
      <w:r w:rsidR="00FD4266" w:rsidRPr="00FD4266">
        <w:t>-</w:t>
      </w:r>
      <w:r>
        <w:t>16</w:t>
      </w:r>
      <w:r w:rsidR="00FD4266" w:rsidRPr="00FD4266">
        <w:t>, 2022</w:t>
      </w:r>
      <w:bookmarkEnd w:id="39"/>
      <w:bookmarkEnd w:id="40"/>
      <w:bookmarkEnd w:id="41"/>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F602D" w14:textId="77777777" w:rsidR="003A34E2" w:rsidRDefault="003A34E2">
      <w:r>
        <w:separator/>
      </w:r>
    </w:p>
  </w:endnote>
  <w:endnote w:type="continuationSeparator" w:id="0">
    <w:p w14:paraId="1B69B2F7" w14:textId="77777777" w:rsidR="003A34E2" w:rsidRDefault="003A34E2">
      <w:r>
        <w:continuationSeparator/>
      </w:r>
    </w:p>
  </w:endnote>
  <w:endnote w:type="continuationNotice" w:id="1">
    <w:p w14:paraId="3AF9D150" w14:textId="77777777" w:rsidR="003A34E2" w:rsidRDefault="003A34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5634C" w14:textId="77777777" w:rsidR="003A34E2" w:rsidRDefault="003A34E2">
      <w:r>
        <w:separator/>
      </w:r>
    </w:p>
  </w:footnote>
  <w:footnote w:type="continuationSeparator" w:id="0">
    <w:p w14:paraId="43536CCB" w14:textId="77777777" w:rsidR="003A34E2" w:rsidRDefault="003A34E2">
      <w:r>
        <w:continuationSeparator/>
      </w:r>
    </w:p>
  </w:footnote>
  <w:footnote w:type="continuationNotice" w:id="1">
    <w:p w14:paraId="6E076125" w14:textId="77777777" w:rsidR="003A34E2" w:rsidRDefault="003A34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11489D"/>
    <w:multiLevelType w:val="hybridMultilevel"/>
    <w:tmpl w:val="C7323C22"/>
    <w:lvl w:ilvl="0" w:tplc="AC468A12">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D1523B8"/>
    <w:multiLevelType w:val="hybridMultilevel"/>
    <w:tmpl w:val="FAFC34A4"/>
    <w:lvl w:ilvl="0" w:tplc="BAA24D2C">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A43A28"/>
    <w:multiLevelType w:val="hybridMultilevel"/>
    <w:tmpl w:val="AA0C0F2A"/>
    <w:lvl w:ilvl="0" w:tplc="BAA24D2C">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5B4525A"/>
    <w:multiLevelType w:val="hybridMultilevel"/>
    <w:tmpl w:val="1EBEB916"/>
    <w:lvl w:ilvl="0" w:tplc="F4BC63F8">
      <w:start w:val="1"/>
      <w:numFmt w:val="bullet"/>
      <w:lvlText w:val="–"/>
      <w:lvlJc w:val="left"/>
      <w:pPr>
        <w:tabs>
          <w:tab w:val="num" w:pos="720"/>
        </w:tabs>
        <w:ind w:left="720" w:hanging="360"/>
      </w:pPr>
      <w:rPr>
        <w:rFonts w:ascii="Ericsson Hilda" w:hAnsi="Ericsson Hilda" w:hint="default"/>
      </w:rPr>
    </w:lvl>
    <w:lvl w:ilvl="1" w:tplc="9304AB46">
      <w:numFmt w:val="bullet"/>
      <w:lvlText w:val="–"/>
      <w:lvlJc w:val="left"/>
      <w:pPr>
        <w:tabs>
          <w:tab w:val="num" w:pos="1440"/>
        </w:tabs>
        <w:ind w:left="1440" w:hanging="360"/>
      </w:pPr>
      <w:rPr>
        <w:rFonts w:ascii="Ericsson Hilda" w:hAnsi="Ericsson Hilda" w:hint="default"/>
      </w:rPr>
    </w:lvl>
    <w:lvl w:ilvl="2" w:tplc="2264DE9C" w:tentative="1">
      <w:start w:val="1"/>
      <w:numFmt w:val="bullet"/>
      <w:lvlText w:val="–"/>
      <w:lvlJc w:val="left"/>
      <w:pPr>
        <w:tabs>
          <w:tab w:val="num" w:pos="2160"/>
        </w:tabs>
        <w:ind w:left="2160" w:hanging="360"/>
      </w:pPr>
      <w:rPr>
        <w:rFonts w:ascii="Ericsson Hilda" w:hAnsi="Ericsson Hilda" w:hint="default"/>
      </w:rPr>
    </w:lvl>
    <w:lvl w:ilvl="3" w:tplc="A768B7A6" w:tentative="1">
      <w:start w:val="1"/>
      <w:numFmt w:val="bullet"/>
      <w:lvlText w:val="–"/>
      <w:lvlJc w:val="left"/>
      <w:pPr>
        <w:tabs>
          <w:tab w:val="num" w:pos="2880"/>
        </w:tabs>
        <w:ind w:left="2880" w:hanging="360"/>
      </w:pPr>
      <w:rPr>
        <w:rFonts w:ascii="Ericsson Hilda" w:hAnsi="Ericsson Hilda" w:hint="default"/>
      </w:rPr>
    </w:lvl>
    <w:lvl w:ilvl="4" w:tplc="0804D992" w:tentative="1">
      <w:start w:val="1"/>
      <w:numFmt w:val="bullet"/>
      <w:lvlText w:val="–"/>
      <w:lvlJc w:val="left"/>
      <w:pPr>
        <w:tabs>
          <w:tab w:val="num" w:pos="3600"/>
        </w:tabs>
        <w:ind w:left="3600" w:hanging="360"/>
      </w:pPr>
      <w:rPr>
        <w:rFonts w:ascii="Ericsson Hilda" w:hAnsi="Ericsson Hilda" w:hint="default"/>
      </w:rPr>
    </w:lvl>
    <w:lvl w:ilvl="5" w:tplc="58703F22" w:tentative="1">
      <w:start w:val="1"/>
      <w:numFmt w:val="bullet"/>
      <w:lvlText w:val="–"/>
      <w:lvlJc w:val="left"/>
      <w:pPr>
        <w:tabs>
          <w:tab w:val="num" w:pos="4320"/>
        </w:tabs>
        <w:ind w:left="4320" w:hanging="360"/>
      </w:pPr>
      <w:rPr>
        <w:rFonts w:ascii="Ericsson Hilda" w:hAnsi="Ericsson Hilda" w:hint="default"/>
      </w:rPr>
    </w:lvl>
    <w:lvl w:ilvl="6" w:tplc="6080AB3A" w:tentative="1">
      <w:start w:val="1"/>
      <w:numFmt w:val="bullet"/>
      <w:lvlText w:val="–"/>
      <w:lvlJc w:val="left"/>
      <w:pPr>
        <w:tabs>
          <w:tab w:val="num" w:pos="5040"/>
        </w:tabs>
        <w:ind w:left="5040" w:hanging="360"/>
      </w:pPr>
      <w:rPr>
        <w:rFonts w:ascii="Ericsson Hilda" w:hAnsi="Ericsson Hilda" w:hint="default"/>
      </w:rPr>
    </w:lvl>
    <w:lvl w:ilvl="7" w:tplc="7820C9AA" w:tentative="1">
      <w:start w:val="1"/>
      <w:numFmt w:val="bullet"/>
      <w:lvlText w:val="–"/>
      <w:lvlJc w:val="left"/>
      <w:pPr>
        <w:tabs>
          <w:tab w:val="num" w:pos="5760"/>
        </w:tabs>
        <w:ind w:left="5760" w:hanging="360"/>
      </w:pPr>
      <w:rPr>
        <w:rFonts w:ascii="Ericsson Hilda" w:hAnsi="Ericsson Hilda" w:hint="default"/>
      </w:rPr>
    </w:lvl>
    <w:lvl w:ilvl="8" w:tplc="04C8AB04"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A50E1F"/>
    <w:multiLevelType w:val="hybridMultilevel"/>
    <w:tmpl w:val="1BB43DA4"/>
    <w:lvl w:ilvl="0" w:tplc="AC468A12">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F6F2E"/>
    <w:multiLevelType w:val="hybridMultilevel"/>
    <w:tmpl w:val="30F6C91C"/>
    <w:lvl w:ilvl="0" w:tplc="20000019">
      <w:start w:val="1"/>
      <w:numFmt w:val="lowerLetter"/>
      <w:lvlText w:val="%1."/>
      <w:lvlJc w:val="left"/>
      <w:pPr>
        <w:tabs>
          <w:tab w:val="num" w:pos="1494"/>
        </w:tabs>
        <w:ind w:left="1494"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AD131E"/>
    <w:multiLevelType w:val="hybridMultilevel"/>
    <w:tmpl w:val="0F2E9E66"/>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744C79"/>
    <w:multiLevelType w:val="hybridMultilevel"/>
    <w:tmpl w:val="121C324E"/>
    <w:lvl w:ilvl="0" w:tplc="27D6B26C">
      <w:start w:val="1"/>
      <w:numFmt w:val="bullet"/>
      <w:lvlText w:val="–"/>
      <w:lvlJc w:val="left"/>
      <w:pPr>
        <w:tabs>
          <w:tab w:val="num" w:pos="720"/>
        </w:tabs>
        <w:ind w:left="720" w:hanging="360"/>
      </w:pPr>
      <w:rPr>
        <w:rFonts w:ascii="Ericsson Hilda" w:hAnsi="Ericsson Hilda" w:hint="default"/>
      </w:rPr>
    </w:lvl>
    <w:lvl w:ilvl="1" w:tplc="7EB2DF10" w:tentative="1">
      <w:start w:val="1"/>
      <w:numFmt w:val="bullet"/>
      <w:lvlText w:val="–"/>
      <w:lvlJc w:val="left"/>
      <w:pPr>
        <w:tabs>
          <w:tab w:val="num" w:pos="1440"/>
        </w:tabs>
        <w:ind w:left="1440" w:hanging="360"/>
      </w:pPr>
      <w:rPr>
        <w:rFonts w:ascii="Ericsson Hilda" w:hAnsi="Ericsson Hilda" w:hint="default"/>
      </w:rPr>
    </w:lvl>
    <w:lvl w:ilvl="2" w:tplc="0C8CD812">
      <w:start w:val="1"/>
      <w:numFmt w:val="bullet"/>
      <w:lvlText w:val="–"/>
      <w:lvlJc w:val="left"/>
      <w:pPr>
        <w:tabs>
          <w:tab w:val="num" w:pos="2160"/>
        </w:tabs>
        <w:ind w:left="2160" w:hanging="360"/>
      </w:pPr>
      <w:rPr>
        <w:rFonts w:ascii="Ericsson Hilda" w:hAnsi="Ericsson Hilda" w:hint="default"/>
      </w:rPr>
    </w:lvl>
    <w:lvl w:ilvl="3" w:tplc="B95C796A" w:tentative="1">
      <w:start w:val="1"/>
      <w:numFmt w:val="bullet"/>
      <w:lvlText w:val="–"/>
      <w:lvlJc w:val="left"/>
      <w:pPr>
        <w:tabs>
          <w:tab w:val="num" w:pos="2880"/>
        </w:tabs>
        <w:ind w:left="2880" w:hanging="360"/>
      </w:pPr>
      <w:rPr>
        <w:rFonts w:ascii="Ericsson Hilda" w:hAnsi="Ericsson Hilda" w:hint="default"/>
      </w:rPr>
    </w:lvl>
    <w:lvl w:ilvl="4" w:tplc="7040CF36" w:tentative="1">
      <w:start w:val="1"/>
      <w:numFmt w:val="bullet"/>
      <w:lvlText w:val="–"/>
      <w:lvlJc w:val="left"/>
      <w:pPr>
        <w:tabs>
          <w:tab w:val="num" w:pos="3600"/>
        </w:tabs>
        <w:ind w:left="3600" w:hanging="360"/>
      </w:pPr>
      <w:rPr>
        <w:rFonts w:ascii="Ericsson Hilda" w:hAnsi="Ericsson Hilda" w:hint="default"/>
      </w:rPr>
    </w:lvl>
    <w:lvl w:ilvl="5" w:tplc="F2369DD0" w:tentative="1">
      <w:start w:val="1"/>
      <w:numFmt w:val="bullet"/>
      <w:lvlText w:val="–"/>
      <w:lvlJc w:val="left"/>
      <w:pPr>
        <w:tabs>
          <w:tab w:val="num" w:pos="4320"/>
        </w:tabs>
        <w:ind w:left="4320" w:hanging="360"/>
      </w:pPr>
      <w:rPr>
        <w:rFonts w:ascii="Ericsson Hilda" w:hAnsi="Ericsson Hilda" w:hint="default"/>
      </w:rPr>
    </w:lvl>
    <w:lvl w:ilvl="6" w:tplc="9D14984A" w:tentative="1">
      <w:start w:val="1"/>
      <w:numFmt w:val="bullet"/>
      <w:lvlText w:val="–"/>
      <w:lvlJc w:val="left"/>
      <w:pPr>
        <w:tabs>
          <w:tab w:val="num" w:pos="5040"/>
        </w:tabs>
        <w:ind w:left="5040" w:hanging="360"/>
      </w:pPr>
      <w:rPr>
        <w:rFonts w:ascii="Ericsson Hilda" w:hAnsi="Ericsson Hilda" w:hint="default"/>
      </w:rPr>
    </w:lvl>
    <w:lvl w:ilvl="7" w:tplc="E446F204" w:tentative="1">
      <w:start w:val="1"/>
      <w:numFmt w:val="bullet"/>
      <w:lvlText w:val="–"/>
      <w:lvlJc w:val="left"/>
      <w:pPr>
        <w:tabs>
          <w:tab w:val="num" w:pos="5760"/>
        </w:tabs>
        <w:ind w:left="5760" w:hanging="360"/>
      </w:pPr>
      <w:rPr>
        <w:rFonts w:ascii="Ericsson Hilda" w:hAnsi="Ericsson Hilda" w:hint="default"/>
      </w:rPr>
    </w:lvl>
    <w:lvl w:ilvl="8" w:tplc="2CD2D6C8"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6144A86"/>
    <w:multiLevelType w:val="hybridMultilevel"/>
    <w:tmpl w:val="698EC8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8B948CF"/>
    <w:multiLevelType w:val="hybridMultilevel"/>
    <w:tmpl w:val="D8B41B7C"/>
    <w:lvl w:ilvl="0" w:tplc="70563196">
      <w:numFmt w:val="bullet"/>
      <w:lvlText w:val="-"/>
      <w:lvlJc w:val="left"/>
      <w:pPr>
        <w:ind w:left="720" w:hanging="360"/>
      </w:pPr>
      <w:rPr>
        <w:rFonts w:ascii="Times New Roman" w:eastAsia="DengXi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A994EB1"/>
    <w:multiLevelType w:val="hybridMultilevel"/>
    <w:tmpl w:val="F14A37C6"/>
    <w:lvl w:ilvl="0" w:tplc="B50E903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5BF5FD8"/>
    <w:multiLevelType w:val="hybridMultilevel"/>
    <w:tmpl w:val="63309CC4"/>
    <w:lvl w:ilvl="0" w:tplc="AC468A12">
      <w:start w:val="2"/>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7A139A4"/>
    <w:multiLevelType w:val="hybridMultilevel"/>
    <w:tmpl w:val="1FB6DA1A"/>
    <w:lvl w:ilvl="0" w:tplc="B0703106">
      <w:start w:val="1"/>
      <w:numFmt w:val="bullet"/>
      <w:lvlText w:val="—"/>
      <w:lvlJc w:val="left"/>
      <w:pPr>
        <w:tabs>
          <w:tab w:val="num" w:pos="720"/>
        </w:tabs>
        <w:ind w:left="720" w:hanging="360"/>
      </w:pPr>
      <w:rPr>
        <w:rFonts w:ascii="Ericsson Hilda Light" w:hAnsi="Ericsson Hilda Light" w:hint="default"/>
      </w:rPr>
    </w:lvl>
    <w:lvl w:ilvl="1" w:tplc="FA7E5BFA">
      <w:numFmt w:val="bullet"/>
      <w:lvlText w:val="—"/>
      <w:lvlJc w:val="left"/>
      <w:pPr>
        <w:tabs>
          <w:tab w:val="num" w:pos="1440"/>
        </w:tabs>
        <w:ind w:left="1440" w:hanging="360"/>
      </w:pPr>
      <w:rPr>
        <w:rFonts w:ascii="Ericsson Hilda Light" w:hAnsi="Ericsson Hilda Light" w:hint="default"/>
      </w:rPr>
    </w:lvl>
    <w:lvl w:ilvl="2" w:tplc="E65E4D10" w:tentative="1">
      <w:start w:val="1"/>
      <w:numFmt w:val="bullet"/>
      <w:lvlText w:val="—"/>
      <w:lvlJc w:val="left"/>
      <w:pPr>
        <w:tabs>
          <w:tab w:val="num" w:pos="2160"/>
        </w:tabs>
        <w:ind w:left="2160" w:hanging="360"/>
      </w:pPr>
      <w:rPr>
        <w:rFonts w:ascii="Ericsson Hilda Light" w:hAnsi="Ericsson Hilda Light" w:hint="default"/>
      </w:rPr>
    </w:lvl>
    <w:lvl w:ilvl="3" w:tplc="F0C680DE" w:tentative="1">
      <w:start w:val="1"/>
      <w:numFmt w:val="bullet"/>
      <w:lvlText w:val="—"/>
      <w:lvlJc w:val="left"/>
      <w:pPr>
        <w:tabs>
          <w:tab w:val="num" w:pos="2880"/>
        </w:tabs>
        <w:ind w:left="2880" w:hanging="360"/>
      </w:pPr>
      <w:rPr>
        <w:rFonts w:ascii="Ericsson Hilda Light" w:hAnsi="Ericsson Hilda Light" w:hint="default"/>
      </w:rPr>
    </w:lvl>
    <w:lvl w:ilvl="4" w:tplc="3D3A6086" w:tentative="1">
      <w:start w:val="1"/>
      <w:numFmt w:val="bullet"/>
      <w:lvlText w:val="—"/>
      <w:lvlJc w:val="left"/>
      <w:pPr>
        <w:tabs>
          <w:tab w:val="num" w:pos="3600"/>
        </w:tabs>
        <w:ind w:left="3600" w:hanging="360"/>
      </w:pPr>
      <w:rPr>
        <w:rFonts w:ascii="Ericsson Hilda Light" w:hAnsi="Ericsson Hilda Light" w:hint="default"/>
      </w:rPr>
    </w:lvl>
    <w:lvl w:ilvl="5" w:tplc="6902CC5A" w:tentative="1">
      <w:start w:val="1"/>
      <w:numFmt w:val="bullet"/>
      <w:lvlText w:val="—"/>
      <w:lvlJc w:val="left"/>
      <w:pPr>
        <w:tabs>
          <w:tab w:val="num" w:pos="4320"/>
        </w:tabs>
        <w:ind w:left="4320" w:hanging="360"/>
      </w:pPr>
      <w:rPr>
        <w:rFonts w:ascii="Ericsson Hilda Light" w:hAnsi="Ericsson Hilda Light" w:hint="default"/>
      </w:rPr>
    </w:lvl>
    <w:lvl w:ilvl="6" w:tplc="40FC7E00" w:tentative="1">
      <w:start w:val="1"/>
      <w:numFmt w:val="bullet"/>
      <w:lvlText w:val="—"/>
      <w:lvlJc w:val="left"/>
      <w:pPr>
        <w:tabs>
          <w:tab w:val="num" w:pos="5040"/>
        </w:tabs>
        <w:ind w:left="5040" w:hanging="360"/>
      </w:pPr>
      <w:rPr>
        <w:rFonts w:ascii="Ericsson Hilda Light" w:hAnsi="Ericsson Hilda Light" w:hint="default"/>
      </w:rPr>
    </w:lvl>
    <w:lvl w:ilvl="7" w:tplc="43440326" w:tentative="1">
      <w:start w:val="1"/>
      <w:numFmt w:val="bullet"/>
      <w:lvlText w:val="—"/>
      <w:lvlJc w:val="left"/>
      <w:pPr>
        <w:tabs>
          <w:tab w:val="num" w:pos="5760"/>
        </w:tabs>
        <w:ind w:left="5760" w:hanging="360"/>
      </w:pPr>
      <w:rPr>
        <w:rFonts w:ascii="Ericsson Hilda Light" w:hAnsi="Ericsson Hilda Light" w:hint="default"/>
      </w:rPr>
    </w:lvl>
    <w:lvl w:ilvl="8" w:tplc="357E9832"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7948042A"/>
    <w:multiLevelType w:val="hybridMultilevel"/>
    <w:tmpl w:val="DBA4E442"/>
    <w:lvl w:ilvl="0" w:tplc="AC468A12">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75096279">
    <w:abstractNumId w:val="13"/>
  </w:num>
  <w:num w:numId="2" w16cid:durableId="515073769">
    <w:abstractNumId w:val="10"/>
  </w:num>
  <w:num w:numId="3" w16cid:durableId="199708402">
    <w:abstractNumId w:val="0"/>
  </w:num>
  <w:num w:numId="4" w16cid:durableId="491719827">
    <w:abstractNumId w:val="15"/>
  </w:num>
  <w:num w:numId="5" w16cid:durableId="1042903622">
    <w:abstractNumId w:val="16"/>
  </w:num>
  <w:num w:numId="6" w16cid:durableId="1445271288">
    <w:abstractNumId w:val="17"/>
  </w:num>
  <w:num w:numId="7" w16cid:durableId="208612360">
    <w:abstractNumId w:val="6"/>
  </w:num>
  <w:num w:numId="8" w16cid:durableId="562762969">
    <w:abstractNumId w:val="7"/>
  </w:num>
  <w:num w:numId="9" w16cid:durableId="1508709121">
    <w:abstractNumId w:val="3"/>
  </w:num>
  <w:num w:numId="10" w16cid:durableId="1511723119">
    <w:abstractNumId w:val="23"/>
  </w:num>
  <w:num w:numId="11" w16cid:durableId="937372604">
    <w:abstractNumId w:val="8"/>
  </w:num>
  <w:num w:numId="12" w16cid:durableId="1288664389">
    <w:abstractNumId w:val="21"/>
  </w:num>
  <w:num w:numId="13" w16cid:durableId="1148285791">
    <w:abstractNumId w:val="22"/>
  </w:num>
  <w:num w:numId="14" w16cid:durableId="295523629">
    <w:abstractNumId w:val="24"/>
  </w:num>
  <w:num w:numId="15" w16cid:durableId="275674609">
    <w:abstractNumId w:val="19"/>
  </w:num>
  <w:num w:numId="16" w16cid:durableId="401802812">
    <w:abstractNumId w:val="11"/>
  </w:num>
  <w:num w:numId="17" w16cid:durableId="1713384399">
    <w:abstractNumId w:val="2"/>
  </w:num>
  <w:num w:numId="18" w16cid:durableId="256670662">
    <w:abstractNumId w:val="25"/>
  </w:num>
  <w:num w:numId="19" w16cid:durableId="560796611">
    <w:abstractNumId w:val="12"/>
  </w:num>
  <w:num w:numId="20" w16cid:durableId="1775664122">
    <w:abstractNumId w:val="20"/>
  </w:num>
  <w:num w:numId="21" w16cid:durableId="1179733633">
    <w:abstractNumId w:val="18"/>
  </w:num>
  <w:num w:numId="22" w16cid:durableId="1474299516">
    <w:abstractNumId w:val="4"/>
  </w:num>
  <w:num w:numId="23" w16cid:durableId="515847179">
    <w:abstractNumId w:val="5"/>
  </w:num>
  <w:num w:numId="24" w16cid:durableId="1134567667">
    <w:abstractNumId w:val="14"/>
  </w:num>
  <w:num w:numId="25" w16cid:durableId="203445553">
    <w:abstractNumId w:val="1"/>
  </w:num>
  <w:num w:numId="26" w16cid:durableId="1494029866">
    <w:abstractNumId w:val="9"/>
  </w:num>
  <w:num w:numId="27" w16cid:durableId="653919521">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2F3"/>
    <w:rsid w:val="000006E1"/>
    <w:rsid w:val="00002A37"/>
    <w:rsid w:val="000047D8"/>
    <w:rsid w:val="0000564C"/>
    <w:rsid w:val="00006446"/>
    <w:rsid w:val="00006896"/>
    <w:rsid w:val="00007A82"/>
    <w:rsid w:val="00007CDC"/>
    <w:rsid w:val="00011B28"/>
    <w:rsid w:val="0001246D"/>
    <w:rsid w:val="00012BA5"/>
    <w:rsid w:val="00015220"/>
    <w:rsid w:val="00015D15"/>
    <w:rsid w:val="00016CB9"/>
    <w:rsid w:val="00021683"/>
    <w:rsid w:val="00021B17"/>
    <w:rsid w:val="00023AE8"/>
    <w:rsid w:val="000251A9"/>
    <w:rsid w:val="0002564D"/>
    <w:rsid w:val="00025ECA"/>
    <w:rsid w:val="000314CC"/>
    <w:rsid w:val="000325B8"/>
    <w:rsid w:val="00032AC8"/>
    <w:rsid w:val="00033AA3"/>
    <w:rsid w:val="00034C15"/>
    <w:rsid w:val="00035E1B"/>
    <w:rsid w:val="00036BA1"/>
    <w:rsid w:val="0004135B"/>
    <w:rsid w:val="000422E2"/>
    <w:rsid w:val="000428E6"/>
    <w:rsid w:val="00042A69"/>
    <w:rsid w:val="00042F22"/>
    <w:rsid w:val="000444EF"/>
    <w:rsid w:val="000455AD"/>
    <w:rsid w:val="0004782E"/>
    <w:rsid w:val="000501A7"/>
    <w:rsid w:val="00050F40"/>
    <w:rsid w:val="00051A25"/>
    <w:rsid w:val="00052A07"/>
    <w:rsid w:val="000534A7"/>
    <w:rsid w:val="000534E3"/>
    <w:rsid w:val="00054275"/>
    <w:rsid w:val="0005606A"/>
    <w:rsid w:val="0005635F"/>
    <w:rsid w:val="0005678A"/>
    <w:rsid w:val="0005697C"/>
    <w:rsid w:val="00057117"/>
    <w:rsid w:val="000578ED"/>
    <w:rsid w:val="00060620"/>
    <w:rsid w:val="000606BE"/>
    <w:rsid w:val="000616E7"/>
    <w:rsid w:val="0006487E"/>
    <w:rsid w:val="000657D9"/>
    <w:rsid w:val="00065E1A"/>
    <w:rsid w:val="0006622E"/>
    <w:rsid w:val="00066364"/>
    <w:rsid w:val="00066FF9"/>
    <w:rsid w:val="00070B8A"/>
    <w:rsid w:val="00070EC2"/>
    <w:rsid w:val="000732D8"/>
    <w:rsid w:val="00073F2E"/>
    <w:rsid w:val="0007630D"/>
    <w:rsid w:val="00077E5F"/>
    <w:rsid w:val="0008036A"/>
    <w:rsid w:val="000819EA"/>
    <w:rsid w:val="00081AE6"/>
    <w:rsid w:val="0008356A"/>
    <w:rsid w:val="00084FF1"/>
    <w:rsid w:val="000855EB"/>
    <w:rsid w:val="00085B52"/>
    <w:rsid w:val="000866F2"/>
    <w:rsid w:val="0009009F"/>
    <w:rsid w:val="000905BD"/>
    <w:rsid w:val="00091557"/>
    <w:rsid w:val="0009213D"/>
    <w:rsid w:val="000924C1"/>
    <w:rsid w:val="000924F0"/>
    <w:rsid w:val="00093474"/>
    <w:rsid w:val="0009510F"/>
    <w:rsid w:val="000A00D2"/>
    <w:rsid w:val="000A0A4C"/>
    <w:rsid w:val="000A1B7B"/>
    <w:rsid w:val="000A20EE"/>
    <w:rsid w:val="000A438A"/>
    <w:rsid w:val="000A56F2"/>
    <w:rsid w:val="000A66D4"/>
    <w:rsid w:val="000A699D"/>
    <w:rsid w:val="000A754B"/>
    <w:rsid w:val="000A76E5"/>
    <w:rsid w:val="000A7D03"/>
    <w:rsid w:val="000B03C1"/>
    <w:rsid w:val="000B05A2"/>
    <w:rsid w:val="000B2719"/>
    <w:rsid w:val="000B3A8F"/>
    <w:rsid w:val="000B3B1B"/>
    <w:rsid w:val="000B4AB9"/>
    <w:rsid w:val="000B5239"/>
    <w:rsid w:val="000B58C3"/>
    <w:rsid w:val="000B61E9"/>
    <w:rsid w:val="000C0B79"/>
    <w:rsid w:val="000C1428"/>
    <w:rsid w:val="000C165A"/>
    <w:rsid w:val="000C2E19"/>
    <w:rsid w:val="000C58E6"/>
    <w:rsid w:val="000C71D0"/>
    <w:rsid w:val="000D0C11"/>
    <w:rsid w:val="000D0D07"/>
    <w:rsid w:val="000D1096"/>
    <w:rsid w:val="000D4797"/>
    <w:rsid w:val="000D4A69"/>
    <w:rsid w:val="000D5390"/>
    <w:rsid w:val="000D63B2"/>
    <w:rsid w:val="000D7809"/>
    <w:rsid w:val="000D7E0F"/>
    <w:rsid w:val="000E0527"/>
    <w:rsid w:val="000E1E92"/>
    <w:rsid w:val="000E483E"/>
    <w:rsid w:val="000F06D6"/>
    <w:rsid w:val="000F0EB1"/>
    <w:rsid w:val="000F1106"/>
    <w:rsid w:val="000F1314"/>
    <w:rsid w:val="000F3BE9"/>
    <w:rsid w:val="000F3F6C"/>
    <w:rsid w:val="000F4330"/>
    <w:rsid w:val="000F52A0"/>
    <w:rsid w:val="000F5ED3"/>
    <w:rsid w:val="000F6D3A"/>
    <w:rsid w:val="000F6DF3"/>
    <w:rsid w:val="001005FF"/>
    <w:rsid w:val="00101ED4"/>
    <w:rsid w:val="001028BF"/>
    <w:rsid w:val="001062FB"/>
    <w:rsid w:val="001063E6"/>
    <w:rsid w:val="0010754C"/>
    <w:rsid w:val="00110525"/>
    <w:rsid w:val="00110752"/>
    <w:rsid w:val="0011162F"/>
    <w:rsid w:val="001138D2"/>
    <w:rsid w:val="00113CF4"/>
    <w:rsid w:val="001153EA"/>
    <w:rsid w:val="00115643"/>
    <w:rsid w:val="0011632E"/>
    <w:rsid w:val="00116765"/>
    <w:rsid w:val="001205C1"/>
    <w:rsid w:val="00120955"/>
    <w:rsid w:val="0012147A"/>
    <w:rsid w:val="001219F5"/>
    <w:rsid w:val="00121A20"/>
    <w:rsid w:val="00122A9B"/>
    <w:rsid w:val="0012377F"/>
    <w:rsid w:val="00124314"/>
    <w:rsid w:val="00126B4A"/>
    <w:rsid w:val="00132B58"/>
    <w:rsid w:val="00132FD0"/>
    <w:rsid w:val="001339FD"/>
    <w:rsid w:val="00133FFD"/>
    <w:rsid w:val="001344C0"/>
    <w:rsid w:val="001345C8"/>
    <w:rsid w:val="001346FA"/>
    <w:rsid w:val="00135252"/>
    <w:rsid w:val="00135FD8"/>
    <w:rsid w:val="00135FF4"/>
    <w:rsid w:val="001370C4"/>
    <w:rsid w:val="00137AB5"/>
    <w:rsid w:val="00137F0B"/>
    <w:rsid w:val="001408D1"/>
    <w:rsid w:val="00141E89"/>
    <w:rsid w:val="001431AA"/>
    <w:rsid w:val="001476B2"/>
    <w:rsid w:val="00150866"/>
    <w:rsid w:val="00151E23"/>
    <w:rsid w:val="001526E0"/>
    <w:rsid w:val="0015279E"/>
    <w:rsid w:val="00152966"/>
    <w:rsid w:val="00152ABF"/>
    <w:rsid w:val="00154097"/>
    <w:rsid w:val="001551B5"/>
    <w:rsid w:val="001562F0"/>
    <w:rsid w:val="00162F46"/>
    <w:rsid w:val="00163708"/>
    <w:rsid w:val="001659C1"/>
    <w:rsid w:val="001678D3"/>
    <w:rsid w:val="00170B9B"/>
    <w:rsid w:val="001710EA"/>
    <w:rsid w:val="00173A8E"/>
    <w:rsid w:val="0017502C"/>
    <w:rsid w:val="0018143F"/>
    <w:rsid w:val="00181FF8"/>
    <w:rsid w:val="00183716"/>
    <w:rsid w:val="0018506D"/>
    <w:rsid w:val="001850DC"/>
    <w:rsid w:val="001859DE"/>
    <w:rsid w:val="00187AAB"/>
    <w:rsid w:val="001903D1"/>
    <w:rsid w:val="00190AC1"/>
    <w:rsid w:val="00190FDE"/>
    <w:rsid w:val="001910C1"/>
    <w:rsid w:val="00192196"/>
    <w:rsid w:val="0019341A"/>
    <w:rsid w:val="001962D5"/>
    <w:rsid w:val="00197DF9"/>
    <w:rsid w:val="001A0280"/>
    <w:rsid w:val="001A0CB9"/>
    <w:rsid w:val="001A152B"/>
    <w:rsid w:val="001A1987"/>
    <w:rsid w:val="001A1BA8"/>
    <w:rsid w:val="001A2564"/>
    <w:rsid w:val="001A4729"/>
    <w:rsid w:val="001A4C56"/>
    <w:rsid w:val="001A6173"/>
    <w:rsid w:val="001A6364"/>
    <w:rsid w:val="001A6CBA"/>
    <w:rsid w:val="001A715B"/>
    <w:rsid w:val="001B0D97"/>
    <w:rsid w:val="001B0E67"/>
    <w:rsid w:val="001B290A"/>
    <w:rsid w:val="001B2D60"/>
    <w:rsid w:val="001B370C"/>
    <w:rsid w:val="001B5887"/>
    <w:rsid w:val="001B5A5D"/>
    <w:rsid w:val="001B7D13"/>
    <w:rsid w:val="001C1CE5"/>
    <w:rsid w:val="001C3D2A"/>
    <w:rsid w:val="001C4AC4"/>
    <w:rsid w:val="001D080C"/>
    <w:rsid w:val="001D1874"/>
    <w:rsid w:val="001D4AC3"/>
    <w:rsid w:val="001D51BA"/>
    <w:rsid w:val="001D53E7"/>
    <w:rsid w:val="001D6342"/>
    <w:rsid w:val="001D6D53"/>
    <w:rsid w:val="001D7FD0"/>
    <w:rsid w:val="001E47D8"/>
    <w:rsid w:val="001E4C42"/>
    <w:rsid w:val="001E52A9"/>
    <w:rsid w:val="001E58E2"/>
    <w:rsid w:val="001E77FF"/>
    <w:rsid w:val="001E7AED"/>
    <w:rsid w:val="001F0912"/>
    <w:rsid w:val="001F0C72"/>
    <w:rsid w:val="001F3916"/>
    <w:rsid w:val="001F49D9"/>
    <w:rsid w:val="001F54C5"/>
    <w:rsid w:val="001F662C"/>
    <w:rsid w:val="001F7074"/>
    <w:rsid w:val="001F786D"/>
    <w:rsid w:val="00200490"/>
    <w:rsid w:val="00200BBF"/>
    <w:rsid w:val="00201EF2"/>
    <w:rsid w:val="00201F3A"/>
    <w:rsid w:val="00203F96"/>
    <w:rsid w:val="00204101"/>
    <w:rsid w:val="002069B2"/>
    <w:rsid w:val="00207619"/>
    <w:rsid w:val="00207FA3"/>
    <w:rsid w:val="002119E3"/>
    <w:rsid w:val="00213563"/>
    <w:rsid w:val="002139AC"/>
    <w:rsid w:val="0021406B"/>
    <w:rsid w:val="002144EA"/>
    <w:rsid w:val="002147FD"/>
    <w:rsid w:val="00214DA8"/>
    <w:rsid w:val="00215423"/>
    <w:rsid w:val="002158FA"/>
    <w:rsid w:val="00215D78"/>
    <w:rsid w:val="00216326"/>
    <w:rsid w:val="00220600"/>
    <w:rsid w:val="002224DB"/>
    <w:rsid w:val="00222B79"/>
    <w:rsid w:val="00223FCB"/>
    <w:rsid w:val="00224CEE"/>
    <w:rsid w:val="002252C3"/>
    <w:rsid w:val="00225C54"/>
    <w:rsid w:val="00225E90"/>
    <w:rsid w:val="00227BC8"/>
    <w:rsid w:val="00230765"/>
    <w:rsid w:val="00230D18"/>
    <w:rsid w:val="002319E4"/>
    <w:rsid w:val="00235632"/>
    <w:rsid w:val="00235872"/>
    <w:rsid w:val="00240C61"/>
    <w:rsid w:val="00241559"/>
    <w:rsid w:val="00241D06"/>
    <w:rsid w:val="00242028"/>
    <w:rsid w:val="002435B3"/>
    <w:rsid w:val="002458EB"/>
    <w:rsid w:val="00246C38"/>
    <w:rsid w:val="002500C8"/>
    <w:rsid w:val="002508D2"/>
    <w:rsid w:val="00251431"/>
    <w:rsid w:val="00252D68"/>
    <w:rsid w:val="00253094"/>
    <w:rsid w:val="002539FC"/>
    <w:rsid w:val="00254391"/>
    <w:rsid w:val="00254D65"/>
    <w:rsid w:val="002556FA"/>
    <w:rsid w:val="00256A06"/>
    <w:rsid w:val="00256F05"/>
    <w:rsid w:val="00257543"/>
    <w:rsid w:val="002617E7"/>
    <w:rsid w:val="00261C7F"/>
    <w:rsid w:val="0026327E"/>
    <w:rsid w:val="00263E97"/>
    <w:rsid w:val="00264228"/>
    <w:rsid w:val="00264334"/>
    <w:rsid w:val="0026473E"/>
    <w:rsid w:val="00265CD1"/>
    <w:rsid w:val="00266214"/>
    <w:rsid w:val="002667D1"/>
    <w:rsid w:val="00266909"/>
    <w:rsid w:val="00267C83"/>
    <w:rsid w:val="00270538"/>
    <w:rsid w:val="00270754"/>
    <w:rsid w:val="0027144F"/>
    <w:rsid w:val="00271478"/>
    <w:rsid w:val="0027161D"/>
    <w:rsid w:val="00271813"/>
    <w:rsid w:val="00271F3A"/>
    <w:rsid w:val="002722CB"/>
    <w:rsid w:val="00273278"/>
    <w:rsid w:val="002737F4"/>
    <w:rsid w:val="0027403C"/>
    <w:rsid w:val="002749EE"/>
    <w:rsid w:val="002805F5"/>
    <w:rsid w:val="00280751"/>
    <w:rsid w:val="00280917"/>
    <w:rsid w:val="002818CA"/>
    <w:rsid w:val="00282415"/>
    <w:rsid w:val="0028280A"/>
    <w:rsid w:val="00282ED7"/>
    <w:rsid w:val="0028502A"/>
    <w:rsid w:val="00286610"/>
    <w:rsid w:val="00286ACD"/>
    <w:rsid w:val="00287838"/>
    <w:rsid w:val="00287BA2"/>
    <w:rsid w:val="002907B5"/>
    <w:rsid w:val="00292EB7"/>
    <w:rsid w:val="0029433E"/>
    <w:rsid w:val="00296227"/>
    <w:rsid w:val="002967C5"/>
    <w:rsid w:val="00296F44"/>
    <w:rsid w:val="00297581"/>
    <w:rsid w:val="0029777D"/>
    <w:rsid w:val="002978A5"/>
    <w:rsid w:val="002A04C9"/>
    <w:rsid w:val="002A055E"/>
    <w:rsid w:val="002A1D4E"/>
    <w:rsid w:val="002A2869"/>
    <w:rsid w:val="002A5354"/>
    <w:rsid w:val="002A5F6C"/>
    <w:rsid w:val="002B0F98"/>
    <w:rsid w:val="002B19CD"/>
    <w:rsid w:val="002B2221"/>
    <w:rsid w:val="002B24D6"/>
    <w:rsid w:val="002B41A1"/>
    <w:rsid w:val="002B4FE6"/>
    <w:rsid w:val="002C0C34"/>
    <w:rsid w:val="002C3E6C"/>
    <w:rsid w:val="002C41E6"/>
    <w:rsid w:val="002C7718"/>
    <w:rsid w:val="002D071A"/>
    <w:rsid w:val="002D0C4F"/>
    <w:rsid w:val="002D1B04"/>
    <w:rsid w:val="002D34B2"/>
    <w:rsid w:val="002D4893"/>
    <w:rsid w:val="002D48B0"/>
    <w:rsid w:val="002D537A"/>
    <w:rsid w:val="002D5B37"/>
    <w:rsid w:val="002D6328"/>
    <w:rsid w:val="002D6DD1"/>
    <w:rsid w:val="002D6FB9"/>
    <w:rsid w:val="002D7637"/>
    <w:rsid w:val="002E17F2"/>
    <w:rsid w:val="002E2B8F"/>
    <w:rsid w:val="002E2DB7"/>
    <w:rsid w:val="002E67BB"/>
    <w:rsid w:val="002E7133"/>
    <w:rsid w:val="002E7CAE"/>
    <w:rsid w:val="002F076B"/>
    <w:rsid w:val="002F1A6F"/>
    <w:rsid w:val="002F2242"/>
    <w:rsid w:val="002F2771"/>
    <w:rsid w:val="002F37A9"/>
    <w:rsid w:val="002F4B7C"/>
    <w:rsid w:val="002F4F7B"/>
    <w:rsid w:val="002F5CC0"/>
    <w:rsid w:val="002F7FE7"/>
    <w:rsid w:val="00300D1B"/>
    <w:rsid w:val="003012CF"/>
    <w:rsid w:val="00301CE6"/>
    <w:rsid w:val="0030256B"/>
    <w:rsid w:val="0030501F"/>
    <w:rsid w:val="00305E18"/>
    <w:rsid w:val="00307BA1"/>
    <w:rsid w:val="003112EC"/>
    <w:rsid w:val="00311702"/>
    <w:rsid w:val="00311954"/>
    <w:rsid w:val="00311E82"/>
    <w:rsid w:val="00311FBC"/>
    <w:rsid w:val="00313FD6"/>
    <w:rsid w:val="003143BD"/>
    <w:rsid w:val="003148BF"/>
    <w:rsid w:val="00315363"/>
    <w:rsid w:val="003203ED"/>
    <w:rsid w:val="00320B75"/>
    <w:rsid w:val="003221C0"/>
    <w:rsid w:val="00322C9F"/>
    <w:rsid w:val="00324D23"/>
    <w:rsid w:val="00327665"/>
    <w:rsid w:val="00331751"/>
    <w:rsid w:val="00334579"/>
    <w:rsid w:val="00335858"/>
    <w:rsid w:val="00336BDA"/>
    <w:rsid w:val="003379BB"/>
    <w:rsid w:val="00340588"/>
    <w:rsid w:val="00340970"/>
    <w:rsid w:val="00342BD7"/>
    <w:rsid w:val="00343AD0"/>
    <w:rsid w:val="003452BA"/>
    <w:rsid w:val="00346DB5"/>
    <w:rsid w:val="003477B1"/>
    <w:rsid w:val="003477BE"/>
    <w:rsid w:val="003503B7"/>
    <w:rsid w:val="00350C3E"/>
    <w:rsid w:val="00352F7D"/>
    <w:rsid w:val="00353872"/>
    <w:rsid w:val="00355E3B"/>
    <w:rsid w:val="0035635A"/>
    <w:rsid w:val="00357380"/>
    <w:rsid w:val="003602D9"/>
    <w:rsid w:val="003604CE"/>
    <w:rsid w:val="003608B4"/>
    <w:rsid w:val="00361A9C"/>
    <w:rsid w:val="00365A48"/>
    <w:rsid w:val="003660AA"/>
    <w:rsid w:val="00366CA0"/>
    <w:rsid w:val="00366DC9"/>
    <w:rsid w:val="003707F0"/>
    <w:rsid w:val="00370E47"/>
    <w:rsid w:val="0037126A"/>
    <w:rsid w:val="00371F59"/>
    <w:rsid w:val="00372AA4"/>
    <w:rsid w:val="003742AC"/>
    <w:rsid w:val="00374562"/>
    <w:rsid w:val="003776F1"/>
    <w:rsid w:val="00377CE1"/>
    <w:rsid w:val="003803EB"/>
    <w:rsid w:val="00382623"/>
    <w:rsid w:val="0038270A"/>
    <w:rsid w:val="00382F20"/>
    <w:rsid w:val="00384D59"/>
    <w:rsid w:val="00385BF0"/>
    <w:rsid w:val="00386BA4"/>
    <w:rsid w:val="00386BD4"/>
    <w:rsid w:val="00386EF9"/>
    <w:rsid w:val="0039072D"/>
    <w:rsid w:val="00392BBE"/>
    <w:rsid w:val="0039323D"/>
    <w:rsid w:val="00393497"/>
    <w:rsid w:val="003939FF"/>
    <w:rsid w:val="00395CF4"/>
    <w:rsid w:val="00396391"/>
    <w:rsid w:val="00397D9A"/>
    <w:rsid w:val="003A0775"/>
    <w:rsid w:val="003A0C63"/>
    <w:rsid w:val="003A2223"/>
    <w:rsid w:val="003A2A0F"/>
    <w:rsid w:val="003A2C67"/>
    <w:rsid w:val="003A34E2"/>
    <w:rsid w:val="003A45A1"/>
    <w:rsid w:val="003A54A5"/>
    <w:rsid w:val="003A5B0A"/>
    <w:rsid w:val="003A6BAC"/>
    <w:rsid w:val="003A70A4"/>
    <w:rsid w:val="003A725A"/>
    <w:rsid w:val="003A7EF3"/>
    <w:rsid w:val="003B14F1"/>
    <w:rsid w:val="003B159C"/>
    <w:rsid w:val="003B1CB6"/>
    <w:rsid w:val="003B2FA9"/>
    <w:rsid w:val="003B369F"/>
    <w:rsid w:val="003B36A3"/>
    <w:rsid w:val="003B64BB"/>
    <w:rsid w:val="003B678B"/>
    <w:rsid w:val="003B6F9E"/>
    <w:rsid w:val="003B7237"/>
    <w:rsid w:val="003B7FE5"/>
    <w:rsid w:val="003C02FD"/>
    <w:rsid w:val="003C11C8"/>
    <w:rsid w:val="003C2702"/>
    <w:rsid w:val="003C32D7"/>
    <w:rsid w:val="003C4C33"/>
    <w:rsid w:val="003C7806"/>
    <w:rsid w:val="003C7C74"/>
    <w:rsid w:val="003D109F"/>
    <w:rsid w:val="003D1417"/>
    <w:rsid w:val="003D2478"/>
    <w:rsid w:val="003D30F7"/>
    <w:rsid w:val="003D33ED"/>
    <w:rsid w:val="003D3C45"/>
    <w:rsid w:val="003D5B1F"/>
    <w:rsid w:val="003D6884"/>
    <w:rsid w:val="003E15FA"/>
    <w:rsid w:val="003E1D83"/>
    <w:rsid w:val="003E1F7D"/>
    <w:rsid w:val="003E4BC7"/>
    <w:rsid w:val="003E55E4"/>
    <w:rsid w:val="003E5C64"/>
    <w:rsid w:val="003E74E3"/>
    <w:rsid w:val="003E7638"/>
    <w:rsid w:val="003E79E9"/>
    <w:rsid w:val="003F05C7"/>
    <w:rsid w:val="003F2558"/>
    <w:rsid w:val="003F2CD4"/>
    <w:rsid w:val="003F3876"/>
    <w:rsid w:val="003F4403"/>
    <w:rsid w:val="003F4FD4"/>
    <w:rsid w:val="003F501A"/>
    <w:rsid w:val="003F6BBE"/>
    <w:rsid w:val="003F6CC5"/>
    <w:rsid w:val="003F7595"/>
    <w:rsid w:val="004000E8"/>
    <w:rsid w:val="00400E50"/>
    <w:rsid w:val="00401A96"/>
    <w:rsid w:val="00402E2B"/>
    <w:rsid w:val="00403246"/>
    <w:rsid w:val="0040406F"/>
    <w:rsid w:val="0040512B"/>
    <w:rsid w:val="00405CA5"/>
    <w:rsid w:val="00406596"/>
    <w:rsid w:val="004075EA"/>
    <w:rsid w:val="00407CD3"/>
    <w:rsid w:val="00410134"/>
    <w:rsid w:val="00410B72"/>
    <w:rsid w:val="00410F18"/>
    <w:rsid w:val="004119FF"/>
    <w:rsid w:val="00412044"/>
    <w:rsid w:val="0041215A"/>
    <w:rsid w:val="0041263E"/>
    <w:rsid w:val="00413AAC"/>
    <w:rsid w:val="00413E92"/>
    <w:rsid w:val="0041545A"/>
    <w:rsid w:val="00416AB3"/>
    <w:rsid w:val="00416EB9"/>
    <w:rsid w:val="004171C8"/>
    <w:rsid w:val="00421105"/>
    <w:rsid w:val="004228F0"/>
    <w:rsid w:val="00422AA4"/>
    <w:rsid w:val="00423A33"/>
    <w:rsid w:val="004242F4"/>
    <w:rsid w:val="0042488C"/>
    <w:rsid w:val="00425493"/>
    <w:rsid w:val="0042595C"/>
    <w:rsid w:val="00427248"/>
    <w:rsid w:val="00427E30"/>
    <w:rsid w:val="004301D4"/>
    <w:rsid w:val="00433B75"/>
    <w:rsid w:val="00433C3F"/>
    <w:rsid w:val="004342C1"/>
    <w:rsid w:val="00434942"/>
    <w:rsid w:val="00437447"/>
    <w:rsid w:val="00437C7F"/>
    <w:rsid w:val="00440E81"/>
    <w:rsid w:val="00441A92"/>
    <w:rsid w:val="00441C42"/>
    <w:rsid w:val="004431DC"/>
    <w:rsid w:val="004432F5"/>
    <w:rsid w:val="00444F56"/>
    <w:rsid w:val="00446488"/>
    <w:rsid w:val="004467B3"/>
    <w:rsid w:val="00450035"/>
    <w:rsid w:val="0045106C"/>
    <w:rsid w:val="004517AA"/>
    <w:rsid w:val="00452CAC"/>
    <w:rsid w:val="0045360A"/>
    <w:rsid w:val="00454625"/>
    <w:rsid w:val="00454C7C"/>
    <w:rsid w:val="00455E5B"/>
    <w:rsid w:val="00457565"/>
    <w:rsid w:val="00457B71"/>
    <w:rsid w:val="0046177E"/>
    <w:rsid w:val="004636F9"/>
    <w:rsid w:val="00464D29"/>
    <w:rsid w:val="004651EC"/>
    <w:rsid w:val="00465C60"/>
    <w:rsid w:val="0046691B"/>
    <w:rsid w:val="004669E2"/>
    <w:rsid w:val="004678B3"/>
    <w:rsid w:val="00467D96"/>
    <w:rsid w:val="00470C31"/>
    <w:rsid w:val="00471DE0"/>
    <w:rsid w:val="00472EF8"/>
    <w:rsid w:val="004734D0"/>
    <w:rsid w:val="00473A67"/>
    <w:rsid w:val="0047556B"/>
    <w:rsid w:val="00476AAB"/>
    <w:rsid w:val="00476E45"/>
    <w:rsid w:val="00477768"/>
    <w:rsid w:val="004830AC"/>
    <w:rsid w:val="0048351B"/>
    <w:rsid w:val="004871EA"/>
    <w:rsid w:val="00490F35"/>
    <w:rsid w:val="004914B5"/>
    <w:rsid w:val="00492BC5"/>
    <w:rsid w:val="00492EBD"/>
    <w:rsid w:val="004933AF"/>
    <w:rsid w:val="004952B1"/>
    <w:rsid w:val="0049585B"/>
    <w:rsid w:val="004964F1"/>
    <w:rsid w:val="00497B03"/>
    <w:rsid w:val="004A1390"/>
    <w:rsid w:val="004A16BC"/>
    <w:rsid w:val="004A23F9"/>
    <w:rsid w:val="004A2B94"/>
    <w:rsid w:val="004A2D00"/>
    <w:rsid w:val="004A5400"/>
    <w:rsid w:val="004B044E"/>
    <w:rsid w:val="004B3C54"/>
    <w:rsid w:val="004B4429"/>
    <w:rsid w:val="004B6F6A"/>
    <w:rsid w:val="004B7C0C"/>
    <w:rsid w:val="004B7CE5"/>
    <w:rsid w:val="004C0C10"/>
    <w:rsid w:val="004C0F67"/>
    <w:rsid w:val="004C3898"/>
    <w:rsid w:val="004C570D"/>
    <w:rsid w:val="004D0054"/>
    <w:rsid w:val="004D1041"/>
    <w:rsid w:val="004D18AC"/>
    <w:rsid w:val="004D36B1"/>
    <w:rsid w:val="004D7669"/>
    <w:rsid w:val="004D7EBD"/>
    <w:rsid w:val="004E16BB"/>
    <w:rsid w:val="004E2680"/>
    <w:rsid w:val="004E28F9"/>
    <w:rsid w:val="004E322D"/>
    <w:rsid w:val="004E462E"/>
    <w:rsid w:val="004E4F4D"/>
    <w:rsid w:val="004E56DC"/>
    <w:rsid w:val="004E65FE"/>
    <w:rsid w:val="004E76F4"/>
    <w:rsid w:val="004F0B4E"/>
    <w:rsid w:val="004F0B6C"/>
    <w:rsid w:val="004F198E"/>
    <w:rsid w:val="004F1A3F"/>
    <w:rsid w:val="004F2078"/>
    <w:rsid w:val="004F2110"/>
    <w:rsid w:val="004F4BF6"/>
    <w:rsid w:val="004F4DA3"/>
    <w:rsid w:val="004F4E4E"/>
    <w:rsid w:val="004F4FE8"/>
    <w:rsid w:val="00501B24"/>
    <w:rsid w:val="00501C57"/>
    <w:rsid w:val="005032ED"/>
    <w:rsid w:val="00504E39"/>
    <w:rsid w:val="00505DAA"/>
    <w:rsid w:val="0050632D"/>
    <w:rsid w:val="00506557"/>
    <w:rsid w:val="0050677A"/>
    <w:rsid w:val="00506AAD"/>
    <w:rsid w:val="005108D8"/>
    <w:rsid w:val="005116F9"/>
    <w:rsid w:val="005121D9"/>
    <w:rsid w:val="00513882"/>
    <w:rsid w:val="00513B34"/>
    <w:rsid w:val="005153A7"/>
    <w:rsid w:val="00516760"/>
    <w:rsid w:val="00517E03"/>
    <w:rsid w:val="0052116E"/>
    <w:rsid w:val="0052164F"/>
    <w:rsid w:val="005219CF"/>
    <w:rsid w:val="00522592"/>
    <w:rsid w:val="00526E99"/>
    <w:rsid w:val="00530895"/>
    <w:rsid w:val="00534A4A"/>
    <w:rsid w:val="00534B59"/>
    <w:rsid w:val="00536759"/>
    <w:rsid w:val="00536D13"/>
    <w:rsid w:val="00537C62"/>
    <w:rsid w:val="005411B7"/>
    <w:rsid w:val="00542BD2"/>
    <w:rsid w:val="00544034"/>
    <w:rsid w:val="00544980"/>
    <w:rsid w:val="00546970"/>
    <w:rsid w:val="00546C60"/>
    <w:rsid w:val="00547918"/>
    <w:rsid w:val="00551A99"/>
    <w:rsid w:val="00552BA1"/>
    <w:rsid w:val="00553A92"/>
    <w:rsid w:val="00553BD3"/>
    <w:rsid w:val="00554E19"/>
    <w:rsid w:val="00557606"/>
    <w:rsid w:val="005606F5"/>
    <w:rsid w:val="0056121F"/>
    <w:rsid w:val="0056208A"/>
    <w:rsid w:val="005626F0"/>
    <w:rsid w:val="0056318C"/>
    <w:rsid w:val="00563A8F"/>
    <w:rsid w:val="00564380"/>
    <w:rsid w:val="00564EE0"/>
    <w:rsid w:val="00565968"/>
    <w:rsid w:val="00570D29"/>
    <w:rsid w:val="00572313"/>
    <w:rsid w:val="00572505"/>
    <w:rsid w:val="00581017"/>
    <w:rsid w:val="005814A3"/>
    <w:rsid w:val="00581B9A"/>
    <w:rsid w:val="0058250D"/>
    <w:rsid w:val="00582809"/>
    <w:rsid w:val="005874CA"/>
    <w:rsid w:val="0058798C"/>
    <w:rsid w:val="005900FA"/>
    <w:rsid w:val="005914E1"/>
    <w:rsid w:val="005918F5"/>
    <w:rsid w:val="005924DE"/>
    <w:rsid w:val="005935A4"/>
    <w:rsid w:val="005936C1"/>
    <w:rsid w:val="005948C2"/>
    <w:rsid w:val="005955CA"/>
    <w:rsid w:val="00595AD9"/>
    <w:rsid w:val="00595DCA"/>
    <w:rsid w:val="00596950"/>
    <w:rsid w:val="0059716C"/>
    <w:rsid w:val="0059779B"/>
    <w:rsid w:val="00597DCE"/>
    <w:rsid w:val="00597EC4"/>
    <w:rsid w:val="005A0078"/>
    <w:rsid w:val="005A209A"/>
    <w:rsid w:val="005A3446"/>
    <w:rsid w:val="005A364F"/>
    <w:rsid w:val="005A3D9D"/>
    <w:rsid w:val="005A5864"/>
    <w:rsid w:val="005A6371"/>
    <w:rsid w:val="005A662D"/>
    <w:rsid w:val="005B00F4"/>
    <w:rsid w:val="005B1409"/>
    <w:rsid w:val="005B35D7"/>
    <w:rsid w:val="005B392A"/>
    <w:rsid w:val="005B3AA3"/>
    <w:rsid w:val="005B4919"/>
    <w:rsid w:val="005B691F"/>
    <w:rsid w:val="005B6F83"/>
    <w:rsid w:val="005B7726"/>
    <w:rsid w:val="005C1141"/>
    <w:rsid w:val="005C17A9"/>
    <w:rsid w:val="005C2D66"/>
    <w:rsid w:val="005C4978"/>
    <w:rsid w:val="005C74FB"/>
    <w:rsid w:val="005C7A25"/>
    <w:rsid w:val="005D06FA"/>
    <w:rsid w:val="005D1602"/>
    <w:rsid w:val="005D18A0"/>
    <w:rsid w:val="005D3670"/>
    <w:rsid w:val="005D6AF4"/>
    <w:rsid w:val="005E03E8"/>
    <w:rsid w:val="005E0C01"/>
    <w:rsid w:val="005E348E"/>
    <w:rsid w:val="005E385F"/>
    <w:rsid w:val="005E510E"/>
    <w:rsid w:val="005E5B81"/>
    <w:rsid w:val="005E70AC"/>
    <w:rsid w:val="005E7FD1"/>
    <w:rsid w:val="005F0A89"/>
    <w:rsid w:val="005F1473"/>
    <w:rsid w:val="005F1B3F"/>
    <w:rsid w:val="005F2CB1"/>
    <w:rsid w:val="005F3025"/>
    <w:rsid w:val="005F319B"/>
    <w:rsid w:val="005F5351"/>
    <w:rsid w:val="005F5D69"/>
    <w:rsid w:val="005F618C"/>
    <w:rsid w:val="005F70BD"/>
    <w:rsid w:val="00601FB9"/>
    <w:rsid w:val="0060283C"/>
    <w:rsid w:val="00604F14"/>
    <w:rsid w:val="00611137"/>
    <w:rsid w:val="00611B83"/>
    <w:rsid w:val="0061231E"/>
    <w:rsid w:val="0061256E"/>
    <w:rsid w:val="00612C27"/>
    <w:rsid w:val="00613257"/>
    <w:rsid w:val="006154C0"/>
    <w:rsid w:val="006159CA"/>
    <w:rsid w:val="00616F4C"/>
    <w:rsid w:val="00617546"/>
    <w:rsid w:val="00620A71"/>
    <w:rsid w:val="00620BAF"/>
    <w:rsid w:val="00620D80"/>
    <w:rsid w:val="006234A6"/>
    <w:rsid w:val="006238F9"/>
    <w:rsid w:val="0062505A"/>
    <w:rsid w:val="0062636A"/>
    <w:rsid w:val="00630001"/>
    <w:rsid w:val="0063043D"/>
    <w:rsid w:val="006311B3"/>
    <w:rsid w:val="006320E0"/>
    <w:rsid w:val="00632833"/>
    <w:rsid w:val="0063284C"/>
    <w:rsid w:val="00633070"/>
    <w:rsid w:val="0063343A"/>
    <w:rsid w:val="00633674"/>
    <w:rsid w:val="00633B7F"/>
    <w:rsid w:val="00634ED6"/>
    <w:rsid w:val="00635AAD"/>
    <w:rsid w:val="00636398"/>
    <w:rsid w:val="006368D3"/>
    <w:rsid w:val="00636E26"/>
    <w:rsid w:val="00636F1F"/>
    <w:rsid w:val="006377EC"/>
    <w:rsid w:val="006407A7"/>
    <w:rsid w:val="00640BD0"/>
    <w:rsid w:val="0064151F"/>
    <w:rsid w:val="00641533"/>
    <w:rsid w:val="0064208D"/>
    <w:rsid w:val="00643475"/>
    <w:rsid w:val="0064396A"/>
    <w:rsid w:val="00645586"/>
    <w:rsid w:val="0064624E"/>
    <w:rsid w:val="00646F2A"/>
    <w:rsid w:val="00650AB9"/>
    <w:rsid w:val="00651147"/>
    <w:rsid w:val="00651440"/>
    <w:rsid w:val="00651636"/>
    <w:rsid w:val="00653232"/>
    <w:rsid w:val="00655733"/>
    <w:rsid w:val="00655ACD"/>
    <w:rsid w:val="00656A92"/>
    <w:rsid w:val="00656DDE"/>
    <w:rsid w:val="0066011D"/>
    <w:rsid w:val="006607C0"/>
    <w:rsid w:val="006613A6"/>
    <w:rsid w:val="006627A2"/>
    <w:rsid w:val="006634E6"/>
    <w:rsid w:val="006646DC"/>
    <w:rsid w:val="00665408"/>
    <w:rsid w:val="006655EE"/>
    <w:rsid w:val="00667EE7"/>
    <w:rsid w:val="00670922"/>
    <w:rsid w:val="00670BE1"/>
    <w:rsid w:val="0067218F"/>
    <w:rsid w:val="00672F55"/>
    <w:rsid w:val="006741F2"/>
    <w:rsid w:val="00674CC3"/>
    <w:rsid w:val="00675C72"/>
    <w:rsid w:val="006769B6"/>
    <w:rsid w:val="00676E02"/>
    <w:rsid w:val="006771F9"/>
    <w:rsid w:val="006776D7"/>
    <w:rsid w:val="00681003"/>
    <w:rsid w:val="006817C9"/>
    <w:rsid w:val="00681A2E"/>
    <w:rsid w:val="00682903"/>
    <w:rsid w:val="00682BA2"/>
    <w:rsid w:val="0068380C"/>
    <w:rsid w:val="00683AB8"/>
    <w:rsid w:val="00683ECE"/>
    <w:rsid w:val="00684055"/>
    <w:rsid w:val="006845D2"/>
    <w:rsid w:val="006848C2"/>
    <w:rsid w:val="00684BF9"/>
    <w:rsid w:val="00685BC7"/>
    <w:rsid w:val="0069027E"/>
    <w:rsid w:val="00690D5B"/>
    <w:rsid w:val="00691710"/>
    <w:rsid w:val="0069240D"/>
    <w:rsid w:val="0069317F"/>
    <w:rsid w:val="00693788"/>
    <w:rsid w:val="006957A1"/>
    <w:rsid w:val="00695DF3"/>
    <w:rsid w:val="00695FC2"/>
    <w:rsid w:val="00696949"/>
    <w:rsid w:val="00696C4B"/>
    <w:rsid w:val="00697052"/>
    <w:rsid w:val="006A0363"/>
    <w:rsid w:val="006A0C0D"/>
    <w:rsid w:val="006A2E93"/>
    <w:rsid w:val="006A3ED9"/>
    <w:rsid w:val="006A46FB"/>
    <w:rsid w:val="006A5E28"/>
    <w:rsid w:val="006A697B"/>
    <w:rsid w:val="006A7AFF"/>
    <w:rsid w:val="006A7C2D"/>
    <w:rsid w:val="006B1816"/>
    <w:rsid w:val="006B2099"/>
    <w:rsid w:val="006B3530"/>
    <w:rsid w:val="006B50CF"/>
    <w:rsid w:val="006B5F9C"/>
    <w:rsid w:val="006B6E44"/>
    <w:rsid w:val="006C03B8"/>
    <w:rsid w:val="006C4628"/>
    <w:rsid w:val="006C5B71"/>
    <w:rsid w:val="006C5EC9"/>
    <w:rsid w:val="006C6059"/>
    <w:rsid w:val="006C7522"/>
    <w:rsid w:val="006C7FEF"/>
    <w:rsid w:val="006D0D02"/>
    <w:rsid w:val="006D25A1"/>
    <w:rsid w:val="006D44B8"/>
    <w:rsid w:val="006D664D"/>
    <w:rsid w:val="006D6DC4"/>
    <w:rsid w:val="006D6F08"/>
    <w:rsid w:val="006D719D"/>
    <w:rsid w:val="006E062C"/>
    <w:rsid w:val="006E1C82"/>
    <w:rsid w:val="006E28B7"/>
    <w:rsid w:val="006E2A9B"/>
    <w:rsid w:val="006E3310"/>
    <w:rsid w:val="006E3A24"/>
    <w:rsid w:val="006E3D98"/>
    <w:rsid w:val="006E3E98"/>
    <w:rsid w:val="006E42AB"/>
    <w:rsid w:val="006E4E39"/>
    <w:rsid w:val="006E565E"/>
    <w:rsid w:val="006E56AD"/>
    <w:rsid w:val="006E6126"/>
    <w:rsid w:val="006E6431"/>
    <w:rsid w:val="006E673D"/>
    <w:rsid w:val="006E6A94"/>
    <w:rsid w:val="006E70BC"/>
    <w:rsid w:val="006E7D3B"/>
    <w:rsid w:val="006F1B70"/>
    <w:rsid w:val="006F341D"/>
    <w:rsid w:val="006F397C"/>
    <w:rsid w:val="006F3C68"/>
    <w:rsid w:val="006F3CDE"/>
    <w:rsid w:val="006F3DFE"/>
    <w:rsid w:val="006F54E7"/>
    <w:rsid w:val="006F58D4"/>
    <w:rsid w:val="006F6582"/>
    <w:rsid w:val="006F7F01"/>
    <w:rsid w:val="00700337"/>
    <w:rsid w:val="00700D8E"/>
    <w:rsid w:val="00702405"/>
    <w:rsid w:val="00702754"/>
    <w:rsid w:val="0070346E"/>
    <w:rsid w:val="00704EDB"/>
    <w:rsid w:val="00706101"/>
    <w:rsid w:val="007061A6"/>
    <w:rsid w:val="00706B05"/>
    <w:rsid w:val="00707072"/>
    <w:rsid w:val="00707D61"/>
    <w:rsid w:val="00707E7F"/>
    <w:rsid w:val="00712287"/>
    <w:rsid w:val="00712772"/>
    <w:rsid w:val="00712945"/>
    <w:rsid w:val="007148D3"/>
    <w:rsid w:val="00715B9A"/>
    <w:rsid w:val="007165F2"/>
    <w:rsid w:val="00716A45"/>
    <w:rsid w:val="00716BFD"/>
    <w:rsid w:val="007257D0"/>
    <w:rsid w:val="00726C05"/>
    <w:rsid w:val="00726EA6"/>
    <w:rsid w:val="00727208"/>
    <w:rsid w:val="00727680"/>
    <w:rsid w:val="0073035B"/>
    <w:rsid w:val="00730FAF"/>
    <w:rsid w:val="007310ED"/>
    <w:rsid w:val="00731689"/>
    <w:rsid w:val="007333EB"/>
    <w:rsid w:val="00733A2C"/>
    <w:rsid w:val="007348B1"/>
    <w:rsid w:val="00734EC1"/>
    <w:rsid w:val="00735AE4"/>
    <w:rsid w:val="007362A6"/>
    <w:rsid w:val="00736D7D"/>
    <w:rsid w:val="00740E58"/>
    <w:rsid w:val="0074271D"/>
    <w:rsid w:val="007435A5"/>
    <w:rsid w:val="00743E23"/>
    <w:rsid w:val="007445A0"/>
    <w:rsid w:val="0074524B"/>
    <w:rsid w:val="00746125"/>
    <w:rsid w:val="00747D8B"/>
    <w:rsid w:val="00751228"/>
    <w:rsid w:val="00753095"/>
    <w:rsid w:val="00754DEB"/>
    <w:rsid w:val="00756293"/>
    <w:rsid w:val="007571E1"/>
    <w:rsid w:val="00757A16"/>
    <w:rsid w:val="007604B2"/>
    <w:rsid w:val="007619BE"/>
    <w:rsid w:val="00761C9F"/>
    <w:rsid w:val="007626B2"/>
    <w:rsid w:val="00762B2A"/>
    <w:rsid w:val="00762B44"/>
    <w:rsid w:val="007641C9"/>
    <w:rsid w:val="00765281"/>
    <w:rsid w:val="007664DD"/>
    <w:rsid w:val="00766BAD"/>
    <w:rsid w:val="0077018D"/>
    <w:rsid w:val="007718FE"/>
    <w:rsid w:val="0077277D"/>
    <w:rsid w:val="007729A2"/>
    <w:rsid w:val="0077467A"/>
    <w:rsid w:val="007755F2"/>
    <w:rsid w:val="00775687"/>
    <w:rsid w:val="00776410"/>
    <w:rsid w:val="00776971"/>
    <w:rsid w:val="00780A80"/>
    <w:rsid w:val="00781045"/>
    <w:rsid w:val="0078145E"/>
    <w:rsid w:val="0078177E"/>
    <w:rsid w:val="00781BA6"/>
    <w:rsid w:val="0078304C"/>
    <w:rsid w:val="00783673"/>
    <w:rsid w:val="00784F6B"/>
    <w:rsid w:val="00785490"/>
    <w:rsid w:val="00787B0E"/>
    <w:rsid w:val="007925EA"/>
    <w:rsid w:val="00792A77"/>
    <w:rsid w:val="007930A9"/>
    <w:rsid w:val="00793404"/>
    <w:rsid w:val="00793CD8"/>
    <w:rsid w:val="00794DCE"/>
    <w:rsid w:val="00795C92"/>
    <w:rsid w:val="00795DF7"/>
    <w:rsid w:val="00796231"/>
    <w:rsid w:val="00796FFD"/>
    <w:rsid w:val="00797F12"/>
    <w:rsid w:val="007A1CB3"/>
    <w:rsid w:val="007A306F"/>
    <w:rsid w:val="007A41EA"/>
    <w:rsid w:val="007A43A6"/>
    <w:rsid w:val="007A4A69"/>
    <w:rsid w:val="007A58A6"/>
    <w:rsid w:val="007A5ADC"/>
    <w:rsid w:val="007A5D7A"/>
    <w:rsid w:val="007B1D53"/>
    <w:rsid w:val="007B2CB4"/>
    <w:rsid w:val="007B368A"/>
    <w:rsid w:val="007B39E1"/>
    <w:rsid w:val="007B3D2D"/>
    <w:rsid w:val="007B4464"/>
    <w:rsid w:val="007B50AE"/>
    <w:rsid w:val="007B51DF"/>
    <w:rsid w:val="007B5A07"/>
    <w:rsid w:val="007B619D"/>
    <w:rsid w:val="007B692C"/>
    <w:rsid w:val="007B7514"/>
    <w:rsid w:val="007C05DD"/>
    <w:rsid w:val="007C0E06"/>
    <w:rsid w:val="007C1A70"/>
    <w:rsid w:val="007C3D18"/>
    <w:rsid w:val="007C60BF"/>
    <w:rsid w:val="007C627E"/>
    <w:rsid w:val="007C6A07"/>
    <w:rsid w:val="007C6E89"/>
    <w:rsid w:val="007C75A1"/>
    <w:rsid w:val="007C77A5"/>
    <w:rsid w:val="007C7C38"/>
    <w:rsid w:val="007D04E5"/>
    <w:rsid w:val="007D2550"/>
    <w:rsid w:val="007D2ECE"/>
    <w:rsid w:val="007D4F39"/>
    <w:rsid w:val="007D51B8"/>
    <w:rsid w:val="007D5901"/>
    <w:rsid w:val="007D66CA"/>
    <w:rsid w:val="007D67A6"/>
    <w:rsid w:val="007D7526"/>
    <w:rsid w:val="007D7F41"/>
    <w:rsid w:val="007E0704"/>
    <w:rsid w:val="007E1D90"/>
    <w:rsid w:val="007E4610"/>
    <w:rsid w:val="007E4715"/>
    <w:rsid w:val="007E505B"/>
    <w:rsid w:val="007E646E"/>
    <w:rsid w:val="007E7091"/>
    <w:rsid w:val="007F0B5A"/>
    <w:rsid w:val="00801A00"/>
    <w:rsid w:val="00801ACF"/>
    <w:rsid w:val="00801C92"/>
    <w:rsid w:val="00802B94"/>
    <w:rsid w:val="00803279"/>
    <w:rsid w:val="00803FAE"/>
    <w:rsid w:val="0080605F"/>
    <w:rsid w:val="0080641A"/>
    <w:rsid w:val="00807786"/>
    <w:rsid w:val="00811FCB"/>
    <w:rsid w:val="00813E75"/>
    <w:rsid w:val="008148D5"/>
    <w:rsid w:val="00815321"/>
    <w:rsid w:val="008158D6"/>
    <w:rsid w:val="00817196"/>
    <w:rsid w:val="00817E91"/>
    <w:rsid w:val="00821C2B"/>
    <w:rsid w:val="008235DB"/>
    <w:rsid w:val="008240A3"/>
    <w:rsid w:val="00824AB4"/>
    <w:rsid w:val="0082508F"/>
    <w:rsid w:val="00825C42"/>
    <w:rsid w:val="00825D25"/>
    <w:rsid w:val="00825D7C"/>
    <w:rsid w:val="00827313"/>
    <w:rsid w:val="00827D6F"/>
    <w:rsid w:val="0083134C"/>
    <w:rsid w:val="00833F37"/>
    <w:rsid w:val="00835E1C"/>
    <w:rsid w:val="00836FC4"/>
    <w:rsid w:val="008376AC"/>
    <w:rsid w:val="00837BD4"/>
    <w:rsid w:val="008409F6"/>
    <w:rsid w:val="0084122B"/>
    <w:rsid w:val="00841DB4"/>
    <w:rsid w:val="008422F5"/>
    <w:rsid w:val="0084252B"/>
    <w:rsid w:val="008444E8"/>
    <w:rsid w:val="00844E80"/>
    <w:rsid w:val="00846FE7"/>
    <w:rsid w:val="008478F9"/>
    <w:rsid w:val="00847E11"/>
    <w:rsid w:val="00850627"/>
    <w:rsid w:val="00856911"/>
    <w:rsid w:val="008570FE"/>
    <w:rsid w:val="008626AB"/>
    <w:rsid w:val="00866E1D"/>
    <w:rsid w:val="008677FD"/>
    <w:rsid w:val="008706D4"/>
    <w:rsid w:val="008709B7"/>
    <w:rsid w:val="00870F8A"/>
    <w:rsid w:val="008719A4"/>
    <w:rsid w:val="00871D23"/>
    <w:rsid w:val="00874312"/>
    <w:rsid w:val="0087437C"/>
    <w:rsid w:val="00875CD7"/>
    <w:rsid w:val="00876021"/>
    <w:rsid w:val="00876B4D"/>
    <w:rsid w:val="00876B75"/>
    <w:rsid w:val="00877F18"/>
    <w:rsid w:val="0088127F"/>
    <w:rsid w:val="00881B6E"/>
    <w:rsid w:val="00886408"/>
    <w:rsid w:val="008870A3"/>
    <w:rsid w:val="0089138A"/>
    <w:rsid w:val="00891BB5"/>
    <w:rsid w:val="00891F54"/>
    <w:rsid w:val="00891F7C"/>
    <w:rsid w:val="0089220C"/>
    <w:rsid w:val="008930F3"/>
    <w:rsid w:val="008931AF"/>
    <w:rsid w:val="008941E3"/>
    <w:rsid w:val="00894A88"/>
    <w:rsid w:val="00895386"/>
    <w:rsid w:val="00895883"/>
    <w:rsid w:val="008978A9"/>
    <w:rsid w:val="008A1996"/>
    <w:rsid w:val="008A21FF"/>
    <w:rsid w:val="008A2CE2"/>
    <w:rsid w:val="008A30AC"/>
    <w:rsid w:val="008A31A8"/>
    <w:rsid w:val="008A44B8"/>
    <w:rsid w:val="008A51A8"/>
    <w:rsid w:val="008A54C7"/>
    <w:rsid w:val="008A6253"/>
    <w:rsid w:val="008A6729"/>
    <w:rsid w:val="008A77D8"/>
    <w:rsid w:val="008B0483"/>
    <w:rsid w:val="008B082C"/>
    <w:rsid w:val="008B120C"/>
    <w:rsid w:val="008B5010"/>
    <w:rsid w:val="008B51A0"/>
    <w:rsid w:val="008B592A"/>
    <w:rsid w:val="008B5B1F"/>
    <w:rsid w:val="008B7B5C"/>
    <w:rsid w:val="008C0C99"/>
    <w:rsid w:val="008C2017"/>
    <w:rsid w:val="008C2DAD"/>
    <w:rsid w:val="008C301B"/>
    <w:rsid w:val="008C387A"/>
    <w:rsid w:val="008C439D"/>
    <w:rsid w:val="008C4958"/>
    <w:rsid w:val="008C4BAA"/>
    <w:rsid w:val="008C6AE8"/>
    <w:rsid w:val="008C6C13"/>
    <w:rsid w:val="008C7573"/>
    <w:rsid w:val="008D00A5"/>
    <w:rsid w:val="008D0ADE"/>
    <w:rsid w:val="008D1938"/>
    <w:rsid w:val="008D1D28"/>
    <w:rsid w:val="008D2B63"/>
    <w:rsid w:val="008D34F1"/>
    <w:rsid w:val="008D370F"/>
    <w:rsid w:val="008D39D8"/>
    <w:rsid w:val="008D47C0"/>
    <w:rsid w:val="008D6403"/>
    <w:rsid w:val="008D6451"/>
    <w:rsid w:val="008D668C"/>
    <w:rsid w:val="008D69D8"/>
    <w:rsid w:val="008D6D1A"/>
    <w:rsid w:val="008E065E"/>
    <w:rsid w:val="008E0927"/>
    <w:rsid w:val="008E1909"/>
    <w:rsid w:val="008E4286"/>
    <w:rsid w:val="008E50B8"/>
    <w:rsid w:val="008E66CC"/>
    <w:rsid w:val="008E73A4"/>
    <w:rsid w:val="008F0718"/>
    <w:rsid w:val="008F1EAB"/>
    <w:rsid w:val="008F33DC"/>
    <w:rsid w:val="008F477F"/>
    <w:rsid w:val="008F4AF0"/>
    <w:rsid w:val="00900212"/>
    <w:rsid w:val="00902350"/>
    <w:rsid w:val="0090290D"/>
    <w:rsid w:val="0090336B"/>
    <w:rsid w:val="00903B15"/>
    <w:rsid w:val="009053AA"/>
    <w:rsid w:val="00906939"/>
    <w:rsid w:val="00906CDE"/>
    <w:rsid w:val="00910B7D"/>
    <w:rsid w:val="00911A15"/>
    <w:rsid w:val="00911DFB"/>
    <w:rsid w:val="009122CB"/>
    <w:rsid w:val="0091389E"/>
    <w:rsid w:val="009139D9"/>
    <w:rsid w:val="00913DAA"/>
    <w:rsid w:val="00914AD8"/>
    <w:rsid w:val="009152C0"/>
    <w:rsid w:val="00916079"/>
    <w:rsid w:val="009177B7"/>
    <w:rsid w:val="0091791C"/>
    <w:rsid w:val="00917CE9"/>
    <w:rsid w:val="00920731"/>
    <w:rsid w:val="00920BF2"/>
    <w:rsid w:val="00920FDC"/>
    <w:rsid w:val="009210A2"/>
    <w:rsid w:val="00922010"/>
    <w:rsid w:val="00922829"/>
    <w:rsid w:val="009230D7"/>
    <w:rsid w:val="00931BD9"/>
    <w:rsid w:val="00932AB1"/>
    <w:rsid w:val="00932D89"/>
    <w:rsid w:val="00932F86"/>
    <w:rsid w:val="00934AF5"/>
    <w:rsid w:val="009368F3"/>
    <w:rsid w:val="00936D11"/>
    <w:rsid w:val="00937B32"/>
    <w:rsid w:val="0094033A"/>
    <w:rsid w:val="00941636"/>
    <w:rsid w:val="00943742"/>
    <w:rsid w:val="00945866"/>
    <w:rsid w:val="00945C05"/>
    <w:rsid w:val="009467CA"/>
    <w:rsid w:val="00946945"/>
    <w:rsid w:val="00947713"/>
    <w:rsid w:val="00947C9C"/>
    <w:rsid w:val="00950DE7"/>
    <w:rsid w:val="00953920"/>
    <w:rsid w:val="00953D47"/>
    <w:rsid w:val="00954C40"/>
    <w:rsid w:val="0095681E"/>
    <w:rsid w:val="009572D4"/>
    <w:rsid w:val="00957BE1"/>
    <w:rsid w:val="00961921"/>
    <w:rsid w:val="00962A1C"/>
    <w:rsid w:val="0096430A"/>
    <w:rsid w:val="00964C60"/>
    <w:rsid w:val="0096554B"/>
    <w:rsid w:val="0096584A"/>
    <w:rsid w:val="00967B4F"/>
    <w:rsid w:val="0097014A"/>
    <w:rsid w:val="00971F08"/>
    <w:rsid w:val="009725D7"/>
    <w:rsid w:val="00973321"/>
    <w:rsid w:val="00974DFB"/>
    <w:rsid w:val="0097603D"/>
    <w:rsid w:val="00976931"/>
    <w:rsid w:val="00976949"/>
    <w:rsid w:val="00976D6E"/>
    <w:rsid w:val="009800DC"/>
    <w:rsid w:val="00980477"/>
    <w:rsid w:val="00980499"/>
    <w:rsid w:val="00980B76"/>
    <w:rsid w:val="00980FDE"/>
    <w:rsid w:val="00981A4B"/>
    <w:rsid w:val="00982492"/>
    <w:rsid w:val="009840A8"/>
    <w:rsid w:val="00985253"/>
    <w:rsid w:val="009853B3"/>
    <w:rsid w:val="00987F1F"/>
    <w:rsid w:val="00990630"/>
    <w:rsid w:val="0099074A"/>
    <w:rsid w:val="00991562"/>
    <w:rsid w:val="009915A5"/>
    <w:rsid w:val="00991761"/>
    <w:rsid w:val="00994DCA"/>
    <w:rsid w:val="0099566C"/>
    <w:rsid w:val="009960EC"/>
    <w:rsid w:val="00996CBA"/>
    <w:rsid w:val="009970DD"/>
    <w:rsid w:val="00997D5F"/>
    <w:rsid w:val="009A0333"/>
    <w:rsid w:val="009A0B11"/>
    <w:rsid w:val="009A0FBA"/>
    <w:rsid w:val="009A1601"/>
    <w:rsid w:val="009A3BB6"/>
    <w:rsid w:val="009A3BD6"/>
    <w:rsid w:val="009A462D"/>
    <w:rsid w:val="009A5CBA"/>
    <w:rsid w:val="009A65B0"/>
    <w:rsid w:val="009A6DDD"/>
    <w:rsid w:val="009A6F20"/>
    <w:rsid w:val="009A7003"/>
    <w:rsid w:val="009A7E49"/>
    <w:rsid w:val="009B19D4"/>
    <w:rsid w:val="009B1BF0"/>
    <w:rsid w:val="009B1F30"/>
    <w:rsid w:val="009B2F63"/>
    <w:rsid w:val="009B3243"/>
    <w:rsid w:val="009B33F1"/>
    <w:rsid w:val="009B3AC2"/>
    <w:rsid w:val="009B3D6A"/>
    <w:rsid w:val="009B4DF4"/>
    <w:rsid w:val="009B564E"/>
    <w:rsid w:val="009B7597"/>
    <w:rsid w:val="009B7E87"/>
    <w:rsid w:val="009C0169"/>
    <w:rsid w:val="009C28E1"/>
    <w:rsid w:val="009C2912"/>
    <w:rsid w:val="009C403E"/>
    <w:rsid w:val="009D00F3"/>
    <w:rsid w:val="009D3282"/>
    <w:rsid w:val="009D3761"/>
    <w:rsid w:val="009D4FF0"/>
    <w:rsid w:val="009D6097"/>
    <w:rsid w:val="009D6C93"/>
    <w:rsid w:val="009D700D"/>
    <w:rsid w:val="009D703C"/>
    <w:rsid w:val="009D718F"/>
    <w:rsid w:val="009E068F"/>
    <w:rsid w:val="009E14E0"/>
    <w:rsid w:val="009E35DB"/>
    <w:rsid w:val="009E47A3"/>
    <w:rsid w:val="009E6354"/>
    <w:rsid w:val="009E7EEB"/>
    <w:rsid w:val="009F02F4"/>
    <w:rsid w:val="009F08F3"/>
    <w:rsid w:val="009F161B"/>
    <w:rsid w:val="009F16F5"/>
    <w:rsid w:val="009F344F"/>
    <w:rsid w:val="009F393B"/>
    <w:rsid w:val="00A02126"/>
    <w:rsid w:val="00A031D8"/>
    <w:rsid w:val="00A03C86"/>
    <w:rsid w:val="00A048A8"/>
    <w:rsid w:val="00A04E4A"/>
    <w:rsid w:val="00A04F49"/>
    <w:rsid w:val="00A062C9"/>
    <w:rsid w:val="00A06A31"/>
    <w:rsid w:val="00A10969"/>
    <w:rsid w:val="00A1338B"/>
    <w:rsid w:val="00A13E54"/>
    <w:rsid w:val="00A16103"/>
    <w:rsid w:val="00A1645F"/>
    <w:rsid w:val="00A17F63"/>
    <w:rsid w:val="00A20F99"/>
    <w:rsid w:val="00A2193B"/>
    <w:rsid w:val="00A2351A"/>
    <w:rsid w:val="00A24EFE"/>
    <w:rsid w:val="00A25CB2"/>
    <w:rsid w:val="00A264A9"/>
    <w:rsid w:val="00A26DCF"/>
    <w:rsid w:val="00A27785"/>
    <w:rsid w:val="00A30187"/>
    <w:rsid w:val="00A30C01"/>
    <w:rsid w:val="00A311A7"/>
    <w:rsid w:val="00A315B6"/>
    <w:rsid w:val="00A31D2F"/>
    <w:rsid w:val="00A3448A"/>
    <w:rsid w:val="00A3544C"/>
    <w:rsid w:val="00A35821"/>
    <w:rsid w:val="00A358E9"/>
    <w:rsid w:val="00A36297"/>
    <w:rsid w:val="00A376FE"/>
    <w:rsid w:val="00A37E22"/>
    <w:rsid w:val="00A40AD3"/>
    <w:rsid w:val="00A41E2B"/>
    <w:rsid w:val="00A44FDA"/>
    <w:rsid w:val="00A45B74"/>
    <w:rsid w:val="00A46662"/>
    <w:rsid w:val="00A476DA"/>
    <w:rsid w:val="00A51647"/>
    <w:rsid w:val="00A523E1"/>
    <w:rsid w:val="00A52E1D"/>
    <w:rsid w:val="00A57240"/>
    <w:rsid w:val="00A61499"/>
    <w:rsid w:val="00A627CD"/>
    <w:rsid w:val="00A62A77"/>
    <w:rsid w:val="00A62B5B"/>
    <w:rsid w:val="00A63483"/>
    <w:rsid w:val="00A6442E"/>
    <w:rsid w:val="00A655FC"/>
    <w:rsid w:val="00A657D7"/>
    <w:rsid w:val="00A659D8"/>
    <w:rsid w:val="00A660AC"/>
    <w:rsid w:val="00A66230"/>
    <w:rsid w:val="00A66B54"/>
    <w:rsid w:val="00A67E6C"/>
    <w:rsid w:val="00A67E8B"/>
    <w:rsid w:val="00A704B5"/>
    <w:rsid w:val="00A71B99"/>
    <w:rsid w:val="00A739D0"/>
    <w:rsid w:val="00A73A8F"/>
    <w:rsid w:val="00A761D4"/>
    <w:rsid w:val="00A776C3"/>
    <w:rsid w:val="00A77EC4"/>
    <w:rsid w:val="00A8222F"/>
    <w:rsid w:val="00A83566"/>
    <w:rsid w:val="00A85BC1"/>
    <w:rsid w:val="00A8671A"/>
    <w:rsid w:val="00A874E2"/>
    <w:rsid w:val="00A92879"/>
    <w:rsid w:val="00A9442A"/>
    <w:rsid w:val="00AA016F"/>
    <w:rsid w:val="00AA0A30"/>
    <w:rsid w:val="00AA1693"/>
    <w:rsid w:val="00AA1ED6"/>
    <w:rsid w:val="00AA23E8"/>
    <w:rsid w:val="00AA51D6"/>
    <w:rsid w:val="00AA62AB"/>
    <w:rsid w:val="00AB0A73"/>
    <w:rsid w:val="00AB0BC8"/>
    <w:rsid w:val="00AB0E04"/>
    <w:rsid w:val="00AB11CA"/>
    <w:rsid w:val="00AB14D9"/>
    <w:rsid w:val="00AB1B00"/>
    <w:rsid w:val="00AB3712"/>
    <w:rsid w:val="00AB495E"/>
    <w:rsid w:val="00AB4AB8"/>
    <w:rsid w:val="00AB655E"/>
    <w:rsid w:val="00AB67AB"/>
    <w:rsid w:val="00AC007F"/>
    <w:rsid w:val="00AC1AF6"/>
    <w:rsid w:val="00AC2900"/>
    <w:rsid w:val="00AC2ECD"/>
    <w:rsid w:val="00AC3119"/>
    <w:rsid w:val="00AC49FB"/>
    <w:rsid w:val="00AC585B"/>
    <w:rsid w:val="00AC5A10"/>
    <w:rsid w:val="00AD0AA3"/>
    <w:rsid w:val="00AD1117"/>
    <w:rsid w:val="00AD3F94"/>
    <w:rsid w:val="00AD4A5A"/>
    <w:rsid w:val="00AD4EDD"/>
    <w:rsid w:val="00AD6889"/>
    <w:rsid w:val="00AD6917"/>
    <w:rsid w:val="00AE095F"/>
    <w:rsid w:val="00AE162B"/>
    <w:rsid w:val="00AE27AC"/>
    <w:rsid w:val="00AE33EF"/>
    <w:rsid w:val="00AE40E0"/>
    <w:rsid w:val="00AE4DBA"/>
    <w:rsid w:val="00AE4F07"/>
    <w:rsid w:val="00AE7B6B"/>
    <w:rsid w:val="00AF03CF"/>
    <w:rsid w:val="00AF1594"/>
    <w:rsid w:val="00AF1C5D"/>
    <w:rsid w:val="00AF1E50"/>
    <w:rsid w:val="00AF26F5"/>
    <w:rsid w:val="00AF39EE"/>
    <w:rsid w:val="00AF42BD"/>
    <w:rsid w:val="00AF42D7"/>
    <w:rsid w:val="00AF46EB"/>
    <w:rsid w:val="00B006FE"/>
    <w:rsid w:val="00B007CB"/>
    <w:rsid w:val="00B00E75"/>
    <w:rsid w:val="00B029BF"/>
    <w:rsid w:val="00B02AA9"/>
    <w:rsid w:val="00B02FA3"/>
    <w:rsid w:val="00B03674"/>
    <w:rsid w:val="00B048FD"/>
    <w:rsid w:val="00B04CE3"/>
    <w:rsid w:val="00B05084"/>
    <w:rsid w:val="00B05E64"/>
    <w:rsid w:val="00B10948"/>
    <w:rsid w:val="00B10B4F"/>
    <w:rsid w:val="00B13111"/>
    <w:rsid w:val="00B137D4"/>
    <w:rsid w:val="00B1425F"/>
    <w:rsid w:val="00B145D3"/>
    <w:rsid w:val="00B157F9"/>
    <w:rsid w:val="00B16218"/>
    <w:rsid w:val="00B16751"/>
    <w:rsid w:val="00B17EBF"/>
    <w:rsid w:val="00B20256"/>
    <w:rsid w:val="00B20D09"/>
    <w:rsid w:val="00B21749"/>
    <w:rsid w:val="00B22EAF"/>
    <w:rsid w:val="00B239A4"/>
    <w:rsid w:val="00B23F53"/>
    <w:rsid w:val="00B23FC7"/>
    <w:rsid w:val="00B25083"/>
    <w:rsid w:val="00B2522E"/>
    <w:rsid w:val="00B2763F"/>
    <w:rsid w:val="00B27AAC"/>
    <w:rsid w:val="00B3013B"/>
    <w:rsid w:val="00B30929"/>
    <w:rsid w:val="00B35D01"/>
    <w:rsid w:val="00B365D7"/>
    <w:rsid w:val="00B36DBA"/>
    <w:rsid w:val="00B372AA"/>
    <w:rsid w:val="00B40445"/>
    <w:rsid w:val="00B409E0"/>
    <w:rsid w:val="00B4140D"/>
    <w:rsid w:val="00B41888"/>
    <w:rsid w:val="00B44BE6"/>
    <w:rsid w:val="00B45A52"/>
    <w:rsid w:val="00B46175"/>
    <w:rsid w:val="00B4701E"/>
    <w:rsid w:val="00B47963"/>
    <w:rsid w:val="00B47DD1"/>
    <w:rsid w:val="00B47DE5"/>
    <w:rsid w:val="00B525B6"/>
    <w:rsid w:val="00B5283D"/>
    <w:rsid w:val="00B548B7"/>
    <w:rsid w:val="00B56B30"/>
    <w:rsid w:val="00B57D8F"/>
    <w:rsid w:val="00B61265"/>
    <w:rsid w:val="00B62897"/>
    <w:rsid w:val="00B650FA"/>
    <w:rsid w:val="00B664C7"/>
    <w:rsid w:val="00B6782A"/>
    <w:rsid w:val="00B7114D"/>
    <w:rsid w:val="00B728E9"/>
    <w:rsid w:val="00B72ADC"/>
    <w:rsid w:val="00B739F6"/>
    <w:rsid w:val="00B7418F"/>
    <w:rsid w:val="00B80ABA"/>
    <w:rsid w:val="00B81A6C"/>
    <w:rsid w:val="00B82BA2"/>
    <w:rsid w:val="00B82CCE"/>
    <w:rsid w:val="00B83DA4"/>
    <w:rsid w:val="00B8448B"/>
    <w:rsid w:val="00B85DE5"/>
    <w:rsid w:val="00B86FC6"/>
    <w:rsid w:val="00B8751D"/>
    <w:rsid w:val="00B90F73"/>
    <w:rsid w:val="00B9307A"/>
    <w:rsid w:val="00B93B59"/>
    <w:rsid w:val="00B93BF6"/>
    <w:rsid w:val="00B9406A"/>
    <w:rsid w:val="00B940C4"/>
    <w:rsid w:val="00B9621C"/>
    <w:rsid w:val="00B9750E"/>
    <w:rsid w:val="00BA1757"/>
    <w:rsid w:val="00BA2280"/>
    <w:rsid w:val="00BA2A08"/>
    <w:rsid w:val="00BA40B1"/>
    <w:rsid w:val="00BA56D2"/>
    <w:rsid w:val="00BA6B4A"/>
    <w:rsid w:val="00BA6D6A"/>
    <w:rsid w:val="00BA76E0"/>
    <w:rsid w:val="00BB1A6B"/>
    <w:rsid w:val="00BB2A25"/>
    <w:rsid w:val="00BB3C3E"/>
    <w:rsid w:val="00BB51E9"/>
    <w:rsid w:val="00BB59E1"/>
    <w:rsid w:val="00BB5A01"/>
    <w:rsid w:val="00BC0E27"/>
    <w:rsid w:val="00BC0FDC"/>
    <w:rsid w:val="00BC1D34"/>
    <w:rsid w:val="00BC293D"/>
    <w:rsid w:val="00BC3053"/>
    <w:rsid w:val="00BC4D2E"/>
    <w:rsid w:val="00BC508B"/>
    <w:rsid w:val="00BD3C10"/>
    <w:rsid w:val="00BD48AC"/>
    <w:rsid w:val="00BD5F1A"/>
    <w:rsid w:val="00BE1234"/>
    <w:rsid w:val="00BE2FA6"/>
    <w:rsid w:val="00BE333F"/>
    <w:rsid w:val="00BE636E"/>
    <w:rsid w:val="00BE71E7"/>
    <w:rsid w:val="00BE7406"/>
    <w:rsid w:val="00BE7603"/>
    <w:rsid w:val="00BF04CC"/>
    <w:rsid w:val="00BF22BE"/>
    <w:rsid w:val="00BF3279"/>
    <w:rsid w:val="00BF569C"/>
    <w:rsid w:val="00BF6F1D"/>
    <w:rsid w:val="00BF74C7"/>
    <w:rsid w:val="00C00E6A"/>
    <w:rsid w:val="00C015F1"/>
    <w:rsid w:val="00C01F33"/>
    <w:rsid w:val="00C02CC6"/>
    <w:rsid w:val="00C02E40"/>
    <w:rsid w:val="00C040F7"/>
    <w:rsid w:val="00C044AB"/>
    <w:rsid w:val="00C05506"/>
    <w:rsid w:val="00C05706"/>
    <w:rsid w:val="00C07377"/>
    <w:rsid w:val="00C10478"/>
    <w:rsid w:val="00C1083E"/>
    <w:rsid w:val="00C12107"/>
    <w:rsid w:val="00C14035"/>
    <w:rsid w:val="00C14D4B"/>
    <w:rsid w:val="00C154BB"/>
    <w:rsid w:val="00C158AA"/>
    <w:rsid w:val="00C2312E"/>
    <w:rsid w:val="00C242BB"/>
    <w:rsid w:val="00C24CEF"/>
    <w:rsid w:val="00C268E6"/>
    <w:rsid w:val="00C279A9"/>
    <w:rsid w:val="00C279B5"/>
    <w:rsid w:val="00C27BB8"/>
    <w:rsid w:val="00C27C45"/>
    <w:rsid w:val="00C27CFD"/>
    <w:rsid w:val="00C30B92"/>
    <w:rsid w:val="00C30C7C"/>
    <w:rsid w:val="00C3121C"/>
    <w:rsid w:val="00C324A3"/>
    <w:rsid w:val="00C33848"/>
    <w:rsid w:val="00C34892"/>
    <w:rsid w:val="00C34F8E"/>
    <w:rsid w:val="00C35503"/>
    <w:rsid w:val="00C3719D"/>
    <w:rsid w:val="00C37B29"/>
    <w:rsid w:val="00C37CB2"/>
    <w:rsid w:val="00C417E9"/>
    <w:rsid w:val="00C41D81"/>
    <w:rsid w:val="00C42FDB"/>
    <w:rsid w:val="00C43D9D"/>
    <w:rsid w:val="00C468D9"/>
    <w:rsid w:val="00C473A5"/>
    <w:rsid w:val="00C52C3A"/>
    <w:rsid w:val="00C54995"/>
    <w:rsid w:val="00C54D41"/>
    <w:rsid w:val="00C56DE6"/>
    <w:rsid w:val="00C60783"/>
    <w:rsid w:val="00C618E7"/>
    <w:rsid w:val="00C623E1"/>
    <w:rsid w:val="00C64672"/>
    <w:rsid w:val="00C65C58"/>
    <w:rsid w:val="00C6656B"/>
    <w:rsid w:val="00C67476"/>
    <w:rsid w:val="00C67BBE"/>
    <w:rsid w:val="00C700A6"/>
    <w:rsid w:val="00C70697"/>
    <w:rsid w:val="00C72093"/>
    <w:rsid w:val="00C72460"/>
    <w:rsid w:val="00C72EF4"/>
    <w:rsid w:val="00C7343E"/>
    <w:rsid w:val="00C73668"/>
    <w:rsid w:val="00C74215"/>
    <w:rsid w:val="00C744FE"/>
    <w:rsid w:val="00C75D2F"/>
    <w:rsid w:val="00C767BE"/>
    <w:rsid w:val="00C76E3C"/>
    <w:rsid w:val="00C77D51"/>
    <w:rsid w:val="00C8003F"/>
    <w:rsid w:val="00C81568"/>
    <w:rsid w:val="00C8303E"/>
    <w:rsid w:val="00C8434E"/>
    <w:rsid w:val="00C86DA0"/>
    <w:rsid w:val="00C87FD7"/>
    <w:rsid w:val="00C9027A"/>
    <w:rsid w:val="00C9037C"/>
    <w:rsid w:val="00C9068E"/>
    <w:rsid w:val="00C916EC"/>
    <w:rsid w:val="00C936B9"/>
    <w:rsid w:val="00C93814"/>
    <w:rsid w:val="00C93C4B"/>
    <w:rsid w:val="00C940CF"/>
    <w:rsid w:val="00C944AB"/>
    <w:rsid w:val="00C94816"/>
    <w:rsid w:val="00C958BD"/>
    <w:rsid w:val="00C95B40"/>
    <w:rsid w:val="00C95DB6"/>
    <w:rsid w:val="00CA150B"/>
    <w:rsid w:val="00CA160F"/>
    <w:rsid w:val="00CA1ED8"/>
    <w:rsid w:val="00CA2A0C"/>
    <w:rsid w:val="00CA3AE0"/>
    <w:rsid w:val="00CA59DD"/>
    <w:rsid w:val="00CA6927"/>
    <w:rsid w:val="00CA6D96"/>
    <w:rsid w:val="00CA7754"/>
    <w:rsid w:val="00CB1F63"/>
    <w:rsid w:val="00CB2B32"/>
    <w:rsid w:val="00CB4675"/>
    <w:rsid w:val="00CB6A2C"/>
    <w:rsid w:val="00CB6F9F"/>
    <w:rsid w:val="00CB7170"/>
    <w:rsid w:val="00CC040E"/>
    <w:rsid w:val="00CC08E2"/>
    <w:rsid w:val="00CC111F"/>
    <w:rsid w:val="00CC1CA2"/>
    <w:rsid w:val="00CC2011"/>
    <w:rsid w:val="00CC3EA0"/>
    <w:rsid w:val="00CC4E4B"/>
    <w:rsid w:val="00CC514C"/>
    <w:rsid w:val="00CC65CA"/>
    <w:rsid w:val="00CC7B45"/>
    <w:rsid w:val="00CD1188"/>
    <w:rsid w:val="00CD221A"/>
    <w:rsid w:val="00CD2371"/>
    <w:rsid w:val="00CD254F"/>
    <w:rsid w:val="00CD2ED1"/>
    <w:rsid w:val="00CD304D"/>
    <w:rsid w:val="00CD337B"/>
    <w:rsid w:val="00CD6EE0"/>
    <w:rsid w:val="00CE0424"/>
    <w:rsid w:val="00CE487D"/>
    <w:rsid w:val="00CE5268"/>
    <w:rsid w:val="00CE599C"/>
    <w:rsid w:val="00CE5C53"/>
    <w:rsid w:val="00CE7561"/>
    <w:rsid w:val="00CE7AAB"/>
    <w:rsid w:val="00CE7EEE"/>
    <w:rsid w:val="00CF1354"/>
    <w:rsid w:val="00CF3B1F"/>
    <w:rsid w:val="00CF3BF6"/>
    <w:rsid w:val="00CF4619"/>
    <w:rsid w:val="00CF4BC8"/>
    <w:rsid w:val="00CF5F75"/>
    <w:rsid w:val="00CF625B"/>
    <w:rsid w:val="00CF687E"/>
    <w:rsid w:val="00CF741E"/>
    <w:rsid w:val="00D0349B"/>
    <w:rsid w:val="00D101AA"/>
    <w:rsid w:val="00D10249"/>
    <w:rsid w:val="00D11523"/>
    <w:rsid w:val="00D115C3"/>
    <w:rsid w:val="00D1180B"/>
    <w:rsid w:val="00D11897"/>
    <w:rsid w:val="00D11E4B"/>
    <w:rsid w:val="00D122A8"/>
    <w:rsid w:val="00D13135"/>
    <w:rsid w:val="00D13E4E"/>
    <w:rsid w:val="00D14762"/>
    <w:rsid w:val="00D2241E"/>
    <w:rsid w:val="00D22B44"/>
    <w:rsid w:val="00D22E2F"/>
    <w:rsid w:val="00D23710"/>
    <w:rsid w:val="00D239A7"/>
    <w:rsid w:val="00D23F47"/>
    <w:rsid w:val="00D24DFB"/>
    <w:rsid w:val="00D26CD7"/>
    <w:rsid w:val="00D35A7B"/>
    <w:rsid w:val="00D36DCF"/>
    <w:rsid w:val="00D36E71"/>
    <w:rsid w:val="00D37D87"/>
    <w:rsid w:val="00D40B33"/>
    <w:rsid w:val="00D4318F"/>
    <w:rsid w:val="00D438BF"/>
    <w:rsid w:val="00D440F8"/>
    <w:rsid w:val="00D44B4C"/>
    <w:rsid w:val="00D45B13"/>
    <w:rsid w:val="00D46071"/>
    <w:rsid w:val="00D4701A"/>
    <w:rsid w:val="00D47E89"/>
    <w:rsid w:val="00D52126"/>
    <w:rsid w:val="00D538EE"/>
    <w:rsid w:val="00D546FF"/>
    <w:rsid w:val="00D55AD5"/>
    <w:rsid w:val="00D576CA"/>
    <w:rsid w:val="00D602D9"/>
    <w:rsid w:val="00D61643"/>
    <w:rsid w:val="00D61AF5"/>
    <w:rsid w:val="00D6280F"/>
    <w:rsid w:val="00D62F5F"/>
    <w:rsid w:val="00D652B5"/>
    <w:rsid w:val="00D66155"/>
    <w:rsid w:val="00D708B0"/>
    <w:rsid w:val="00D72259"/>
    <w:rsid w:val="00D733F7"/>
    <w:rsid w:val="00D77B1D"/>
    <w:rsid w:val="00D8021F"/>
    <w:rsid w:val="00D80383"/>
    <w:rsid w:val="00D823C6"/>
    <w:rsid w:val="00D82E39"/>
    <w:rsid w:val="00D8327F"/>
    <w:rsid w:val="00D86976"/>
    <w:rsid w:val="00D86CA3"/>
    <w:rsid w:val="00D871CE"/>
    <w:rsid w:val="00D9196D"/>
    <w:rsid w:val="00D92982"/>
    <w:rsid w:val="00D9498F"/>
    <w:rsid w:val="00D974B6"/>
    <w:rsid w:val="00DA0A96"/>
    <w:rsid w:val="00DA2C77"/>
    <w:rsid w:val="00DA305E"/>
    <w:rsid w:val="00DA5417"/>
    <w:rsid w:val="00DA56E8"/>
    <w:rsid w:val="00DA61EB"/>
    <w:rsid w:val="00DB0A9F"/>
    <w:rsid w:val="00DB25D4"/>
    <w:rsid w:val="00DB2CE8"/>
    <w:rsid w:val="00DB377D"/>
    <w:rsid w:val="00DB3AF9"/>
    <w:rsid w:val="00DB3F00"/>
    <w:rsid w:val="00DB5360"/>
    <w:rsid w:val="00DB6716"/>
    <w:rsid w:val="00DB6872"/>
    <w:rsid w:val="00DC0956"/>
    <w:rsid w:val="00DC1B15"/>
    <w:rsid w:val="00DC2D36"/>
    <w:rsid w:val="00DC38EE"/>
    <w:rsid w:val="00DC53EF"/>
    <w:rsid w:val="00DC5A16"/>
    <w:rsid w:val="00DD0F34"/>
    <w:rsid w:val="00DD0F6B"/>
    <w:rsid w:val="00DD44DC"/>
    <w:rsid w:val="00DD4519"/>
    <w:rsid w:val="00DD4AA4"/>
    <w:rsid w:val="00DD6AE5"/>
    <w:rsid w:val="00DD775E"/>
    <w:rsid w:val="00DE00AE"/>
    <w:rsid w:val="00DE0FB3"/>
    <w:rsid w:val="00DE0FD5"/>
    <w:rsid w:val="00DE3364"/>
    <w:rsid w:val="00DE3F7E"/>
    <w:rsid w:val="00DE5608"/>
    <w:rsid w:val="00DE58D0"/>
    <w:rsid w:val="00DE642B"/>
    <w:rsid w:val="00DE654F"/>
    <w:rsid w:val="00DF0B6E"/>
    <w:rsid w:val="00DF15E0"/>
    <w:rsid w:val="00DF1BA7"/>
    <w:rsid w:val="00DF2E48"/>
    <w:rsid w:val="00DF37A0"/>
    <w:rsid w:val="00DF37C0"/>
    <w:rsid w:val="00DF4AE4"/>
    <w:rsid w:val="00DF54E5"/>
    <w:rsid w:val="00DF66E1"/>
    <w:rsid w:val="00E013F9"/>
    <w:rsid w:val="00E022E8"/>
    <w:rsid w:val="00E03380"/>
    <w:rsid w:val="00E07528"/>
    <w:rsid w:val="00E110E7"/>
    <w:rsid w:val="00E11B20"/>
    <w:rsid w:val="00E12049"/>
    <w:rsid w:val="00E1320E"/>
    <w:rsid w:val="00E14D70"/>
    <w:rsid w:val="00E15207"/>
    <w:rsid w:val="00E171D6"/>
    <w:rsid w:val="00E17742"/>
    <w:rsid w:val="00E17FA2"/>
    <w:rsid w:val="00E20DF7"/>
    <w:rsid w:val="00E22330"/>
    <w:rsid w:val="00E2274D"/>
    <w:rsid w:val="00E25B05"/>
    <w:rsid w:val="00E30B5A"/>
    <w:rsid w:val="00E3123D"/>
    <w:rsid w:val="00E31461"/>
    <w:rsid w:val="00E31D43"/>
    <w:rsid w:val="00E32608"/>
    <w:rsid w:val="00E32D44"/>
    <w:rsid w:val="00E331EB"/>
    <w:rsid w:val="00E33275"/>
    <w:rsid w:val="00E34188"/>
    <w:rsid w:val="00E34826"/>
    <w:rsid w:val="00E34B6E"/>
    <w:rsid w:val="00E354D5"/>
    <w:rsid w:val="00E35559"/>
    <w:rsid w:val="00E35C86"/>
    <w:rsid w:val="00E3665C"/>
    <w:rsid w:val="00E3723A"/>
    <w:rsid w:val="00E3779F"/>
    <w:rsid w:val="00E37860"/>
    <w:rsid w:val="00E40293"/>
    <w:rsid w:val="00E42038"/>
    <w:rsid w:val="00E432FF"/>
    <w:rsid w:val="00E446F1"/>
    <w:rsid w:val="00E46305"/>
    <w:rsid w:val="00E46886"/>
    <w:rsid w:val="00E46A0D"/>
    <w:rsid w:val="00E47AEF"/>
    <w:rsid w:val="00E53B75"/>
    <w:rsid w:val="00E54E3B"/>
    <w:rsid w:val="00E55B35"/>
    <w:rsid w:val="00E57565"/>
    <w:rsid w:val="00E601E8"/>
    <w:rsid w:val="00E6081A"/>
    <w:rsid w:val="00E609AC"/>
    <w:rsid w:val="00E62A48"/>
    <w:rsid w:val="00E6372B"/>
    <w:rsid w:val="00E63838"/>
    <w:rsid w:val="00E63AA5"/>
    <w:rsid w:val="00E64434"/>
    <w:rsid w:val="00E676A9"/>
    <w:rsid w:val="00E67C51"/>
    <w:rsid w:val="00E71581"/>
    <w:rsid w:val="00E72EFC"/>
    <w:rsid w:val="00E7472D"/>
    <w:rsid w:val="00E74C0E"/>
    <w:rsid w:val="00E7513D"/>
    <w:rsid w:val="00E753D7"/>
    <w:rsid w:val="00E75507"/>
    <w:rsid w:val="00E758EC"/>
    <w:rsid w:val="00E76427"/>
    <w:rsid w:val="00E7686F"/>
    <w:rsid w:val="00E76FA5"/>
    <w:rsid w:val="00E8234C"/>
    <w:rsid w:val="00E82B07"/>
    <w:rsid w:val="00E83AA9"/>
    <w:rsid w:val="00E85928"/>
    <w:rsid w:val="00E866FE"/>
    <w:rsid w:val="00E87822"/>
    <w:rsid w:val="00E90395"/>
    <w:rsid w:val="00E90E49"/>
    <w:rsid w:val="00E917F9"/>
    <w:rsid w:val="00E9291C"/>
    <w:rsid w:val="00E92C2A"/>
    <w:rsid w:val="00E92D63"/>
    <w:rsid w:val="00E93FB0"/>
    <w:rsid w:val="00E93FFE"/>
    <w:rsid w:val="00E94AE7"/>
    <w:rsid w:val="00E94F8A"/>
    <w:rsid w:val="00E962BF"/>
    <w:rsid w:val="00E9641C"/>
    <w:rsid w:val="00E97591"/>
    <w:rsid w:val="00EA0799"/>
    <w:rsid w:val="00EA1BF2"/>
    <w:rsid w:val="00EA1D10"/>
    <w:rsid w:val="00EA6166"/>
    <w:rsid w:val="00EA6318"/>
    <w:rsid w:val="00EA7114"/>
    <w:rsid w:val="00EA7543"/>
    <w:rsid w:val="00EA7A41"/>
    <w:rsid w:val="00EB077B"/>
    <w:rsid w:val="00EB192E"/>
    <w:rsid w:val="00EB21EB"/>
    <w:rsid w:val="00EB4CA3"/>
    <w:rsid w:val="00EB4EA2"/>
    <w:rsid w:val="00EB70EE"/>
    <w:rsid w:val="00EC0835"/>
    <w:rsid w:val="00EC1DA2"/>
    <w:rsid w:val="00EC24D5"/>
    <w:rsid w:val="00EC27C6"/>
    <w:rsid w:val="00EC3351"/>
    <w:rsid w:val="00EC4207"/>
    <w:rsid w:val="00EC5121"/>
    <w:rsid w:val="00EC5520"/>
    <w:rsid w:val="00EC5653"/>
    <w:rsid w:val="00EC71CE"/>
    <w:rsid w:val="00EC782B"/>
    <w:rsid w:val="00EC7F9A"/>
    <w:rsid w:val="00ED1006"/>
    <w:rsid w:val="00ED26FF"/>
    <w:rsid w:val="00ED3547"/>
    <w:rsid w:val="00ED3FB4"/>
    <w:rsid w:val="00ED4E78"/>
    <w:rsid w:val="00ED56B1"/>
    <w:rsid w:val="00ED6CD4"/>
    <w:rsid w:val="00ED76E0"/>
    <w:rsid w:val="00EE39C2"/>
    <w:rsid w:val="00EE4DD9"/>
    <w:rsid w:val="00EE505E"/>
    <w:rsid w:val="00EE64D9"/>
    <w:rsid w:val="00EE67B6"/>
    <w:rsid w:val="00EE6A57"/>
    <w:rsid w:val="00EE753E"/>
    <w:rsid w:val="00EF0979"/>
    <w:rsid w:val="00EF0D20"/>
    <w:rsid w:val="00EF18FE"/>
    <w:rsid w:val="00EF577B"/>
    <w:rsid w:val="00EF5787"/>
    <w:rsid w:val="00EF60D0"/>
    <w:rsid w:val="00EF77BF"/>
    <w:rsid w:val="00F00A55"/>
    <w:rsid w:val="00F018E8"/>
    <w:rsid w:val="00F03522"/>
    <w:rsid w:val="00F0528D"/>
    <w:rsid w:val="00F052E7"/>
    <w:rsid w:val="00F05D4A"/>
    <w:rsid w:val="00F06C67"/>
    <w:rsid w:val="00F06D60"/>
    <w:rsid w:val="00F06DCE"/>
    <w:rsid w:val="00F06DFD"/>
    <w:rsid w:val="00F071D1"/>
    <w:rsid w:val="00F0734D"/>
    <w:rsid w:val="00F07533"/>
    <w:rsid w:val="00F10629"/>
    <w:rsid w:val="00F10ED2"/>
    <w:rsid w:val="00F11112"/>
    <w:rsid w:val="00F13EA3"/>
    <w:rsid w:val="00F153D5"/>
    <w:rsid w:val="00F15FA5"/>
    <w:rsid w:val="00F178A5"/>
    <w:rsid w:val="00F209B7"/>
    <w:rsid w:val="00F20F5C"/>
    <w:rsid w:val="00F2376F"/>
    <w:rsid w:val="00F243D8"/>
    <w:rsid w:val="00F2681E"/>
    <w:rsid w:val="00F305F5"/>
    <w:rsid w:val="00F30828"/>
    <w:rsid w:val="00F309B9"/>
    <w:rsid w:val="00F313D6"/>
    <w:rsid w:val="00F351B5"/>
    <w:rsid w:val="00F37C8C"/>
    <w:rsid w:val="00F40F0C"/>
    <w:rsid w:val="00F41073"/>
    <w:rsid w:val="00F44069"/>
    <w:rsid w:val="00F47507"/>
    <w:rsid w:val="00F4766C"/>
    <w:rsid w:val="00F5030A"/>
    <w:rsid w:val="00F5060E"/>
    <w:rsid w:val="00F507D1"/>
    <w:rsid w:val="00F519CE"/>
    <w:rsid w:val="00F51ADA"/>
    <w:rsid w:val="00F52594"/>
    <w:rsid w:val="00F52CEA"/>
    <w:rsid w:val="00F55511"/>
    <w:rsid w:val="00F55FD8"/>
    <w:rsid w:val="00F571EA"/>
    <w:rsid w:val="00F600AE"/>
    <w:rsid w:val="00F60203"/>
    <w:rsid w:val="00F607C5"/>
    <w:rsid w:val="00F60DEA"/>
    <w:rsid w:val="00F6302A"/>
    <w:rsid w:val="00F63950"/>
    <w:rsid w:val="00F63FFE"/>
    <w:rsid w:val="00F64376"/>
    <w:rsid w:val="00F64AB7"/>
    <w:rsid w:val="00F64C2B"/>
    <w:rsid w:val="00F651BE"/>
    <w:rsid w:val="00F65474"/>
    <w:rsid w:val="00F67F53"/>
    <w:rsid w:val="00F703BE"/>
    <w:rsid w:val="00F71F69"/>
    <w:rsid w:val="00F725F5"/>
    <w:rsid w:val="00F72B72"/>
    <w:rsid w:val="00F74BB9"/>
    <w:rsid w:val="00F75582"/>
    <w:rsid w:val="00F75D63"/>
    <w:rsid w:val="00F76EFA"/>
    <w:rsid w:val="00F804BE"/>
    <w:rsid w:val="00F810AB"/>
    <w:rsid w:val="00F817CE"/>
    <w:rsid w:val="00F8185A"/>
    <w:rsid w:val="00F8315A"/>
    <w:rsid w:val="00F83A2C"/>
    <w:rsid w:val="00F8456C"/>
    <w:rsid w:val="00F84B8C"/>
    <w:rsid w:val="00F859D8"/>
    <w:rsid w:val="00F85FD1"/>
    <w:rsid w:val="00F868F5"/>
    <w:rsid w:val="00F87CD4"/>
    <w:rsid w:val="00F9056A"/>
    <w:rsid w:val="00F90F8D"/>
    <w:rsid w:val="00F913D7"/>
    <w:rsid w:val="00F9184A"/>
    <w:rsid w:val="00F91E42"/>
    <w:rsid w:val="00F91F9A"/>
    <w:rsid w:val="00F92782"/>
    <w:rsid w:val="00F93AA9"/>
    <w:rsid w:val="00F93B6A"/>
    <w:rsid w:val="00F95961"/>
    <w:rsid w:val="00F96146"/>
    <w:rsid w:val="00F96985"/>
    <w:rsid w:val="00F97838"/>
    <w:rsid w:val="00FA0B38"/>
    <w:rsid w:val="00FA150C"/>
    <w:rsid w:val="00FA2BB3"/>
    <w:rsid w:val="00FA3101"/>
    <w:rsid w:val="00FA5497"/>
    <w:rsid w:val="00FB0994"/>
    <w:rsid w:val="00FB10C1"/>
    <w:rsid w:val="00FB16DB"/>
    <w:rsid w:val="00FB32C0"/>
    <w:rsid w:val="00FB3349"/>
    <w:rsid w:val="00FB430B"/>
    <w:rsid w:val="00FB4C80"/>
    <w:rsid w:val="00FB62C1"/>
    <w:rsid w:val="00FB63BC"/>
    <w:rsid w:val="00FB6593"/>
    <w:rsid w:val="00FB6A6A"/>
    <w:rsid w:val="00FB7A0F"/>
    <w:rsid w:val="00FC12AF"/>
    <w:rsid w:val="00FC2F94"/>
    <w:rsid w:val="00FC371F"/>
    <w:rsid w:val="00FC5ACD"/>
    <w:rsid w:val="00FC7429"/>
    <w:rsid w:val="00FC7DBC"/>
    <w:rsid w:val="00FD04CE"/>
    <w:rsid w:val="00FD07F6"/>
    <w:rsid w:val="00FD1EC8"/>
    <w:rsid w:val="00FD3432"/>
    <w:rsid w:val="00FD406F"/>
    <w:rsid w:val="00FD4266"/>
    <w:rsid w:val="00FD47ED"/>
    <w:rsid w:val="00FD51D8"/>
    <w:rsid w:val="00FD74DB"/>
    <w:rsid w:val="00FD7660"/>
    <w:rsid w:val="00FE0655"/>
    <w:rsid w:val="00FE122E"/>
    <w:rsid w:val="00FE2365"/>
    <w:rsid w:val="00FE37D7"/>
    <w:rsid w:val="00FE3B62"/>
    <w:rsid w:val="00FE4916"/>
    <w:rsid w:val="00FE4C7B"/>
    <w:rsid w:val="00FE670B"/>
    <w:rsid w:val="00FE6805"/>
    <w:rsid w:val="00FE7336"/>
    <w:rsid w:val="00FE7462"/>
    <w:rsid w:val="00FE787C"/>
    <w:rsid w:val="00FE7F6B"/>
    <w:rsid w:val="00FF0598"/>
    <w:rsid w:val="00FF37C2"/>
    <w:rsid w:val="00FF45A5"/>
    <w:rsid w:val="00FF5247"/>
    <w:rsid w:val="00FF5461"/>
    <w:rsid w:val="00FF5C91"/>
    <w:rsid w:val="00FF6834"/>
    <w:rsid w:val="00FF6CF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B4A8F284-BAD9-47D6-A441-70CB40E27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Doc-text2"/>
    <w:qFormat/>
    <w:rsid w:val="00150866"/>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Revision">
    <w:name w:val="Revision"/>
    <w:hidden/>
    <w:uiPriority w:val="99"/>
    <w:semiHidden/>
    <w:rsid w:val="005918F5"/>
    <w:rPr>
      <w:rFonts w:ascii="Times New Roman" w:hAnsi="Times New Roman"/>
      <w:lang w:eastAsia="ja-JP"/>
    </w:rPr>
  </w:style>
  <w:style w:type="character" w:customStyle="1" w:styleId="ui-provider">
    <w:name w:val="ui-provider"/>
    <w:basedOn w:val="DefaultParagraphFont"/>
    <w:rsid w:val="009A0B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471080">
      <w:bodyDiv w:val="1"/>
      <w:marLeft w:val="0"/>
      <w:marRight w:val="0"/>
      <w:marTop w:val="0"/>
      <w:marBottom w:val="0"/>
      <w:divBdr>
        <w:top w:val="none" w:sz="0" w:space="0" w:color="auto"/>
        <w:left w:val="none" w:sz="0" w:space="0" w:color="auto"/>
        <w:bottom w:val="none" w:sz="0" w:space="0" w:color="auto"/>
        <w:right w:val="none" w:sz="0" w:space="0" w:color="auto"/>
      </w:divBdr>
    </w:div>
    <w:div w:id="690422249">
      <w:bodyDiv w:val="1"/>
      <w:marLeft w:val="0"/>
      <w:marRight w:val="0"/>
      <w:marTop w:val="0"/>
      <w:marBottom w:val="0"/>
      <w:divBdr>
        <w:top w:val="none" w:sz="0" w:space="0" w:color="auto"/>
        <w:left w:val="none" w:sz="0" w:space="0" w:color="auto"/>
        <w:bottom w:val="none" w:sz="0" w:space="0" w:color="auto"/>
        <w:right w:val="none" w:sz="0" w:space="0" w:color="auto"/>
      </w:divBdr>
      <w:divsChild>
        <w:div w:id="31809805">
          <w:marLeft w:val="547"/>
          <w:marRight w:val="0"/>
          <w:marTop w:val="60"/>
          <w:marBottom w:val="0"/>
          <w:divBdr>
            <w:top w:val="none" w:sz="0" w:space="0" w:color="auto"/>
            <w:left w:val="none" w:sz="0" w:space="0" w:color="auto"/>
            <w:bottom w:val="none" w:sz="0" w:space="0" w:color="auto"/>
            <w:right w:val="none" w:sz="0" w:space="0" w:color="auto"/>
          </w:divBdr>
        </w:div>
        <w:div w:id="251817424">
          <w:marLeft w:val="547"/>
          <w:marRight w:val="0"/>
          <w:marTop w:val="60"/>
          <w:marBottom w:val="0"/>
          <w:divBdr>
            <w:top w:val="none" w:sz="0" w:space="0" w:color="auto"/>
            <w:left w:val="none" w:sz="0" w:space="0" w:color="auto"/>
            <w:bottom w:val="none" w:sz="0" w:space="0" w:color="auto"/>
            <w:right w:val="none" w:sz="0" w:space="0" w:color="auto"/>
          </w:divBdr>
        </w:div>
        <w:div w:id="20058498">
          <w:marLeft w:val="547"/>
          <w:marRight w:val="0"/>
          <w:marTop w:val="60"/>
          <w:marBottom w:val="0"/>
          <w:divBdr>
            <w:top w:val="none" w:sz="0" w:space="0" w:color="auto"/>
            <w:left w:val="none" w:sz="0" w:space="0" w:color="auto"/>
            <w:bottom w:val="none" w:sz="0" w:space="0" w:color="auto"/>
            <w:right w:val="none" w:sz="0" w:space="0" w:color="auto"/>
          </w:divBdr>
        </w:div>
        <w:div w:id="1036930319">
          <w:marLeft w:val="547"/>
          <w:marRight w:val="0"/>
          <w:marTop w:val="60"/>
          <w:marBottom w:val="0"/>
          <w:divBdr>
            <w:top w:val="none" w:sz="0" w:space="0" w:color="auto"/>
            <w:left w:val="none" w:sz="0" w:space="0" w:color="auto"/>
            <w:bottom w:val="none" w:sz="0" w:space="0" w:color="auto"/>
            <w:right w:val="none" w:sz="0" w:space="0" w:color="auto"/>
          </w:divBdr>
        </w:div>
        <w:div w:id="1345866051">
          <w:marLeft w:val="547"/>
          <w:marRight w:val="0"/>
          <w:marTop w:val="60"/>
          <w:marBottom w:val="0"/>
          <w:divBdr>
            <w:top w:val="none" w:sz="0" w:space="0" w:color="auto"/>
            <w:left w:val="none" w:sz="0" w:space="0" w:color="auto"/>
            <w:bottom w:val="none" w:sz="0" w:space="0" w:color="auto"/>
            <w:right w:val="none" w:sz="0" w:space="0" w:color="auto"/>
          </w:divBdr>
        </w:div>
        <w:div w:id="59644730">
          <w:marLeft w:val="547"/>
          <w:marRight w:val="0"/>
          <w:marTop w:val="60"/>
          <w:marBottom w:val="0"/>
          <w:divBdr>
            <w:top w:val="none" w:sz="0" w:space="0" w:color="auto"/>
            <w:left w:val="none" w:sz="0" w:space="0" w:color="auto"/>
            <w:bottom w:val="none" w:sz="0" w:space="0" w:color="auto"/>
            <w:right w:val="none" w:sz="0" w:space="0" w:color="auto"/>
          </w:divBdr>
        </w:div>
        <w:div w:id="1331785691">
          <w:marLeft w:val="547"/>
          <w:marRight w:val="0"/>
          <w:marTop w:val="60"/>
          <w:marBottom w:val="0"/>
          <w:divBdr>
            <w:top w:val="none" w:sz="0" w:space="0" w:color="auto"/>
            <w:left w:val="none" w:sz="0" w:space="0" w:color="auto"/>
            <w:bottom w:val="none" w:sz="0" w:space="0" w:color="auto"/>
            <w:right w:val="none" w:sz="0" w:space="0" w:color="auto"/>
          </w:divBdr>
        </w:div>
        <w:div w:id="1308785506">
          <w:marLeft w:val="1123"/>
          <w:marRight w:val="0"/>
          <w:marTop w:val="60"/>
          <w:marBottom w:val="0"/>
          <w:divBdr>
            <w:top w:val="none" w:sz="0" w:space="0" w:color="auto"/>
            <w:left w:val="none" w:sz="0" w:space="0" w:color="auto"/>
            <w:bottom w:val="none" w:sz="0" w:space="0" w:color="auto"/>
            <w:right w:val="none" w:sz="0" w:space="0" w:color="auto"/>
          </w:divBdr>
        </w:div>
        <w:div w:id="364989733">
          <w:marLeft w:val="1123"/>
          <w:marRight w:val="0"/>
          <w:marTop w:val="60"/>
          <w:marBottom w:val="0"/>
          <w:divBdr>
            <w:top w:val="none" w:sz="0" w:space="0" w:color="auto"/>
            <w:left w:val="none" w:sz="0" w:space="0" w:color="auto"/>
            <w:bottom w:val="none" w:sz="0" w:space="0" w:color="auto"/>
            <w:right w:val="none" w:sz="0" w:space="0" w:color="auto"/>
          </w:divBdr>
        </w:div>
        <w:div w:id="2069912401">
          <w:marLeft w:val="1123"/>
          <w:marRight w:val="0"/>
          <w:marTop w:val="60"/>
          <w:marBottom w:val="0"/>
          <w:divBdr>
            <w:top w:val="none" w:sz="0" w:space="0" w:color="auto"/>
            <w:left w:val="none" w:sz="0" w:space="0" w:color="auto"/>
            <w:bottom w:val="none" w:sz="0" w:space="0" w:color="auto"/>
            <w:right w:val="none" w:sz="0" w:space="0" w:color="auto"/>
          </w:divBdr>
        </w:div>
        <w:div w:id="1780947614">
          <w:marLeft w:val="547"/>
          <w:marRight w:val="0"/>
          <w:marTop w:val="60"/>
          <w:marBottom w:val="0"/>
          <w:divBdr>
            <w:top w:val="none" w:sz="0" w:space="0" w:color="auto"/>
            <w:left w:val="none" w:sz="0" w:space="0" w:color="auto"/>
            <w:bottom w:val="none" w:sz="0" w:space="0" w:color="auto"/>
            <w:right w:val="none" w:sz="0" w:space="0" w:color="auto"/>
          </w:divBdr>
        </w:div>
      </w:divsChild>
    </w:div>
    <w:div w:id="696079543">
      <w:bodyDiv w:val="1"/>
      <w:marLeft w:val="0"/>
      <w:marRight w:val="0"/>
      <w:marTop w:val="0"/>
      <w:marBottom w:val="0"/>
      <w:divBdr>
        <w:top w:val="none" w:sz="0" w:space="0" w:color="auto"/>
        <w:left w:val="none" w:sz="0" w:space="0" w:color="auto"/>
        <w:bottom w:val="none" w:sz="0" w:space="0" w:color="auto"/>
        <w:right w:val="none" w:sz="0" w:space="0" w:color="auto"/>
      </w:divBdr>
      <w:divsChild>
        <w:div w:id="1681349180">
          <w:marLeft w:val="547"/>
          <w:marRight w:val="0"/>
          <w:marTop w:val="60"/>
          <w:marBottom w:val="0"/>
          <w:divBdr>
            <w:top w:val="none" w:sz="0" w:space="0" w:color="auto"/>
            <w:left w:val="none" w:sz="0" w:space="0" w:color="auto"/>
            <w:bottom w:val="none" w:sz="0" w:space="0" w:color="auto"/>
            <w:right w:val="none" w:sz="0" w:space="0" w:color="auto"/>
          </w:divBdr>
        </w:div>
        <w:div w:id="303587430">
          <w:marLeft w:val="547"/>
          <w:marRight w:val="0"/>
          <w:marTop w:val="60"/>
          <w:marBottom w:val="0"/>
          <w:divBdr>
            <w:top w:val="none" w:sz="0" w:space="0" w:color="auto"/>
            <w:left w:val="none" w:sz="0" w:space="0" w:color="auto"/>
            <w:bottom w:val="none" w:sz="0" w:space="0" w:color="auto"/>
            <w:right w:val="none" w:sz="0" w:space="0" w:color="auto"/>
          </w:divBdr>
        </w:div>
        <w:div w:id="1487818752">
          <w:marLeft w:val="547"/>
          <w:marRight w:val="0"/>
          <w:marTop w:val="60"/>
          <w:marBottom w:val="0"/>
          <w:divBdr>
            <w:top w:val="none" w:sz="0" w:space="0" w:color="auto"/>
            <w:left w:val="none" w:sz="0" w:space="0" w:color="auto"/>
            <w:bottom w:val="none" w:sz="0" w:space="0" w:color="auto"/>
            <w:right w:val="none" w:sz="0" w:space="0" w:color="auto"/>
          </w:divBdr>
        </w:div>
        <w:div w:id="1551576571">
          <w:marLeft w:val="547"/>
          <w:marRight w:val="0"/>
          <w:marTop w:val="60"/>
          <w:marBottom w:val="0"/>
          <w:divBdr>
            <w:top w:val="none" w:sz="0" w:space="0" w:color="auto"/>
            <w:left w:val="none" w:sz="0" w:space="0" w:color="auto"/>
            <w:bottom w:val="none" w:sz="0" w:space="0" w:color="auto"/>
            <w:right w:val="none" w:sz="0" w:space="0" w:color="auto"/>
          </w:divBdr>
        </w:div>
        <w:div w:id="72707205">
          <w:marLeft w:val="547"/>
          <w:marRight w:val="0"/>
          <w:marTop w:val="60"/>
          <w:marBottom w:val="0"/>
          <w:divBdr>
            <w:top w:val="none" w:sz="0" w:space="0" w:color="auto"/>
            <w:left w:val="none" w:sz="0" w:space="0" w:color="auto"/>
            <w:bottom w:val="none" w:sz="0" w:space="0" w:color="auto"/>
            <w:right w:val="none" w:sz="0" w:space="0" w:color="auto"/>
          </w:divBdr>
        </w:div>
        <w:div w:id="1968274139">
          <w:marLeft w:val="547"/>
          <w:marRight w:val="0"/>
          <w:marTop w:val="60"/>
          <w:marBottom w:val="0"/>
          <w:divBdr>
            <w:top w:val="none" w:sz="0" w:space="0" w:color="auto"/>
            <w:left w:val="none" w:sz="0" w:space="0" w:color="auto"/>
            <w:bottom w:val="none" w:sz="0" w:space="0" w:color="auto"/>
            <w:right w:val="none" w:sz="0" w:space="0" w:color="auto"/>
          </w:divBdr>
        </w:div>
        <w:div w:id="1789202691">
          <w:marLeft w:val="547"/>
          <w:marRight w:val="0"/>
          <w:marTop w:val="60"/>
          <w:marBottom w:val="0"/>
          <w:divBdr>
            <w:top w:val="none" w:sz="0" w:space="0" w:color="auto"/>
            <w:left w:val="none" w:sz="0" w:space="0" w:color="auto"/>
            <w:bottom w:val="none" w:sz="0" w:space="0" w:color="auto"/>
            <w:right w:val="none" w:sz="0" w:space="0" w:color="auto"/>
          </w:divBdr>
        </w:div>
        <w:div w:id="909147568">
          <w:marLeft w:val="1123"/>
          <w:marRight w:val="0"/>
          <w:marTop w:val="60"/>
          <w:marBottom w:val="0"/>
          <w:divBdr>
            <w:top w:val="none" w:sz="0" w:space="0" w:color="auto"/>
            <w:left w:val="none" w:sz="0" w:space="0" w:color="auto"/>
            <w:bottom w:val="none" w:sz="0" w:space="0" w:color="auto"/>
            <w:right w:val="none" w:sz="0" w:space="0" w:color="auto"/>
          </w:divBdr>
        </w:div>
        <w:div w:id="2078933923">
          <w:marLeft w:val="1123"/>
          <w:marRight w:val="0"/>
          <w:marTop w:val="60"/>
          <w:marBottom w:val="0"/>
          <w:divBdr>
            <w:top w:val="none" w:sz="0" w:space="0" w:color="auto"/>
            <w:left w:val="none" w:sz="0" w:space="0" w:color="auto"/>
            <w:bottom w:val="none" w:sz="0" w:space="0" w:color="auto"/>
            <w:right w:val="none" w:sz="0" w:space="0" w:color="auto"/>
          </w:divBdr>
        </w:div>
        <w:div w:id="560792920">
          <w:marLeft w:val="1123"/>
          <w:marRight w:val="0"/>
          <w:marTop w:val="60"/>
          <w:marBottom w:val="0"/>
          <w:divBdr>
            <w:top w:val="none" w:sz="0" w:space="0" w:color="auto"/>
            <w:left w:val="none" w:sz="0" w:space="0" w:color="auto"/>
            <w:bottom w:val="none" w:sz="0" w:space="0" w:color="auto"/>
            <w:right w:val="none" w:sz="0" w:space="0" w:color="auto"/>
          </w:divBdr>
        </w:div>
        <w:div w:id="1220483535">
          <w:marLeft w:val="547"/>
          <w:marRight w:val="0"/>
          <w:marTop w:val="60"/>
          <w:marBottom w:val="0"/>
          <w:divBdr>
            <w:top w:val="none" w:sz="0" w:space="0" w:color="auto"/>
            <w:left w:val="none" w:sz="0" w:space="0" w:color="auto"/>
            <w:bottom w:val="none" w:sz="0" w:space="0" w:color="auto"/>
            <w:right w:val="none" w:sz="0" w:space="0" w:color="auto"/>
          </w:divBdr>
        </w:div>
      </w:divsChild>
    </w:div>
    <w:div w:id="827134481">
      <w:bodyDiv w:val="1"/>
      <w:marLeft w:val="0"/>
      <w:marRight w:val="0"/>
      <w:marTop w:val="0"/>
      <w:marBottom w:val="0"/>
      <w:divBdr>
        <w:top w:val="none" w:sz="0" w:space="0" w:color="auto"/>
        <w:left w:val="none" w:sz="0" w:space="0" w:color="auto"/>
        <w:bottom w:val="none" w:sz="0" w:space="0" w:color="auto"/>
        <w:right w:val="none" w:sz="0" w:space="0" w:color="auto"/>
      </w:divBdr>
      <w:divsChild>
        <w:div w:id="1990595204">
          <w:marLeft w:val="1699"/>
          <w:marRight w:val="0"/>
          <w:marTop w:val="60"/>
          <w:marBottom w:val="0"/>
          <w:divBdr>
            <w:top w:val="none" w:sz="0" w:space="0" w:color="auto"/>
            <w:left w:val="none" w:sz="0" w:space="0" w:color="auto"/>
            <w:bottom w:val="none" w:sz="0" w:space="0" w:color="auto"/>
            <w:right w:val="none" w:sz="0" w:space="0" w:color="auto"/>
          </w:divBdr>
        </w:div>
        <w:div w:id="1956518413">
          <w:marLeft w:val="1699"/>
          <w:marRight w:val="0"/>
          <w:marTop w:val="60"/>
          <w:marBottom w:val="0"/>
          <w:divBdr>
            <w:top w:val="none" w:sz="0" w:space="0" w:color="auto"/>
            <w:left w:val="none" w:sz="0" w:space="0" w:color="auto"/>
            <w:bottom w:val="none" w:sz="0" w:space="0" w:color="auto"/>
            <w:right w:val="none" w:sz="0" w:space="0" w:color="auto"/>
          </w:divBdr>
        </w:div>
        <w:div w:id="1527451847">
          <w:marLeft w:val="1699"/>
          <w:marRight w:val="0"/>
          <w:marTop w:val="60"/>
          <w:marBottom w:val="0"/>
          <w:divBdr>
            <w:top w:val="none" w:sz="0" w:space="0" w:color="auto"/>
            <w:left w:val="none" w:sz="0" w:space="0" w:color="auto"/>
            <w:bottom w:val="none" w:sz="0" w:space="0" w:color="auto"/>
            <w:right w:val="none" w:sz="0" w:space="0" w:color="auto"/>
          </w:divBdr>
        </w:div>
        <w:div w:id="2143648019">
          <w:marLeft w:val="1699"/>
          <w:marRight w:val="0"/>
          <w:marTop w:val="60"/>
          <w:marBottom w:val="0"/>
          <w:divBdr>
            <w:top w:val="none" w:sz="0" w:space="0" w:color="auto"/>
            <w:left w:val="none" w:sz="0" w:space="0" w:color="auto"/>
            <w:bottom w:val="none" w:sz="0" w:space="0" w:color="auto"/>
            <w:right w:val="none" w:sz="0" w:space="0" w:color="auto"/>
          </w:divBdr>
        </w:div>
        <w:div w:id="1635866030">
          <w:marLeft w:val="1699"/>
          <w:marRight w:val="0"/>
          <w:marTop w:val="60"/>
          <w:marBottom w:val="0"/>
          <w:divBdr>
            <w:top w:val="none" w:sz="0" w:space="0" w:color="auto"/>
            <w:left w:val="none" w:sz="0" w:space="0" w:color="auto"/>
            <w:bottom w:val="none" w:sz="0" w:space="0" w:color="auto"/>
            <w:right w:val="none" w:sz="0" w:space="0" w:color="auto"/>
          </w:divBdr>
        </w:div>
        <w:div w:id="1190147454">
          <w:marLeft w:val="1699"/>
          <w:marRight w:val="0"/>
          <w:marTop w:val="60"/>
          <w:marBottom w:val="0"/>
          <w:divBdr>
            <w:top w:val="none" w:sz="0" w:space="0" w:color="auto"/>
            <w:left w:val="none" w:sz="0" w:space="0" w:color="auto"/>
            <w:bottom w:val="none" w:sz="0" w:space="0" w:color="auto"/>
            <w:right w:val="none" w:sz="0" w:space="0" w:color="auto"/>
          </w:divBdr>
        </w:div>
        <w:div w:id="1428231541">
          <w:marLeft w:val="1699"/>
          <w:marRight w:val="0"/>
          <w:marTop w:val="60"/>
          <w:marBottom w:val="0"/>
          <w:divBdr>
            <w:top w:val="none" w:sz="0" w:space="0" w:color="auto"/>
            <w:left w:val="none" w:sz="0" w:space="0" w:color="auto"/>
            <w:bottom w:val="none" w:sz="0" w:space="0" w:color="auto"/>
            <w:right w:val="none" w:sz="0" w:space="0" w:color="auto"/>
          </w:divBdr>
        </w:div>
      </w:divsChild>
    </w:div>
    <w:div w:id="1093740733">
      <w:bodyDiv w:val="1"/>
      <w:marLeft w:val="0"/>
      <w:marRight w:val="0"/>
      <w:marTop w:val="0"/>
      <w:marBottom w:val="0"/>
      <w:divBdr>
        <w:top w:val="none" w:sz="0" w:space="0" w:color="auto"/>
        <w:left w:val="none" w:sz="0" w:space="0" w:color="auto"/>
        <w:bottom w:val="none" w:sz="0" w:space="0" w:color="auto"/>
        <w:right w:val="none" w:sz="0" w:space="0" w:color="auto"/>
      </w:divBdr>
    </w:div>
    <w:div w:id="1483229074">
      <w:bodyDiv w:val="1"/>
      <w:marLeft w:val="0"/>
      <w:marRight w:val="0"/>
      <w:marTop w:val="0"/>
      <w:marBottom w:val="0"/>
      <w:divBdr>
        <w:top w:val="none" w:sz="0" w:space="0" w:color="auto"/>
        <w:left w:val="none" w:sz="0" w:space="0" w:color="auto"/>
        <w:bottom w:val="none" w:sz="0" w:space="0" w:color="auto"/>
        <w:right w:val="none" w:sz="0" w:space="0" w:color="auto"/>
      </w:divBdr>
      <w:divsChild>
        <w:div w:id="1016888689">
          <w:marLeft w:val="547"/>
          <w:marRight w:val="0"/>
          <w:marTop w:val="60"/>
          <w:marBottom w:val="0"/>
          <w:divBdr>
            <w:top w:val="none" w:sz="0" w:space="0" w:color="auto"/>
            <w:left w:val="none" w:sz="0" w:space="0" w:color="auto"/>
            <w:bottom w:val="none" w:sz="0" w:space="0" w:color="auto"/>
            <w:right w:val="none" w:sz="0" w:space="0" w:color="auto"/>
          </w:divBdr>
        </w:div>
        <w:div w:id="126969505">
          <w:marLeft w:val="1800"/>
          <w:marRight w:val="0"/>
          <w:marTop w:val="60"/>
          <w:marBottom w:val="0"/>
          <w:divBdr>
            <w:top w:val="none" w:sz="0" w:space="0" w:color="auto"/>
            <w:left w:val="none" w:sz="0" w:space="0" w:color="auto"/>
            <w:bottom w:val="none" w:sz="0" w:space="0" w:color="auto"/>
            <w:right w:val="none" w:sz="0" w:space="0" w:color="auto"/>
          </w:divBdr>
        </w:div>
        <w:div w:id="1789886408">
          <w:marLeft w:val="1800"/>
          <w:marRight w:val="0"/>
          <w:marTop w:val="60"/>
          <w:marBottom w:val="0"/>
          <w:divBdr>
            <w:top w:val="none" w:sz="0" w:space="0" w:color="auto"/>
            <w:left w:val="none" w:sz="0" w:space="0" w:color="auto"/>
            <w:bottom w:val="none" w:sz="0" w:space="0" w:color="auto"/>
            <w:right w:val="none" w:sz="0" w:space="0" w:color="auto"/>
          </w:divBdr>
        </w:div>
        <w:div w:id="1907295907">
          <w:marLeft w:val="1800"/>
          <w:marRight w:val="0"/>
          <w:marTop w:val="60"/>
          <w:marBottom w:val="0"/>
          <w:divBdr>
            <w:top w:val="none" w:sz="0" w:space="0" w:color="auto"/>
            <w:left w:val="none" w:sz="0" w:space="0" w:color="auto"/>
            <w:bottom w:val="none" w:sz="0" w:space="0" w:color="auto"/>
            <w:right w:val="none" w:sz="0" w:space="0" w:color="auto"/>
          </w:divBdr>
        </w:div>
        <w:div w:id="1947686483">
          <w:marLeft w:val="547"/>
          <w:marRight w:val="0"/>
          <w:marTop w:val="60"/>
          <w:marBottom w:val="0"/>
          <w:divBdr>
            <w:top w:val="none" w:sz="0" w:space="0" w:color="auto"/>
            <w:left w:val="none" w:sz="0" w:space="0" w:color="auto"/>
            <w:bottom w:val="none" w:sz="0" w:space="0" w:color="auto"/>
            <w:right w:val="none" w:sz="0" w:space="0" w:color="auto"/>
          </w:divBdr>
        </w:div>
        <w:div w:id="422455807">
          <w:marLeft w:val="547"/>
          <w:marRight w:val="0"/>
          <w:marTop w:val="60"/>
          <w:marBottom w:val="0"/>
          <w:divBdr>
            <w:top w:val="none" w:sz="0" w:space="0" w:color="auto"/>
            <w:left w:val="none" w:sz="0" w:space="0" w:color="auto"/>
            <w:bottom w:val="none" w:sz="0" w:space="0" w:color="auto"/>
            <w:right w:val="none" w:sz="0" w:space="0" w:color="auto"/>
          </w:divBdr>
        </w:div>
        <w:div w:id="770009942">
          <w:marLeft w:val="547"/>
          <w:marRight w:val="0"/>
          <w:marTop w:val="60"/>
          <w:marBottom w:val="0"/>
          <w:divBdr>
            <w:top w:val="none" w:sz="0" w:space="0" w:color="auto"/>
            <w:left w:val="none" w:sz="0" w:space="0" w:color="auto"/>
            <w:bottom w:val="none" w:sz="0" w:space="0" w:color="auto"/>
            <w:right w:val="none" w:sz="0" w:space="0" w:color="auto"/>
          </w:divBdr>
        </w:div>
      </w:divsChild>
    </w:div>
    <w:div w:id="1776174578">
      <w:bodyDiv w:val="1"/>
      <w:marLeft w:val="0"/>
      <w:marRight w:val="0"/>
      <w:marTop w:val="0"/>
      <w:marBottom w:val="0"/>
      <w:divBdr>
        <w:top w:val="none" w:sz="0" w:space="0" w:color="auto"/>
        <w:left w:val="none" w:sz="0" w:space="0" w:color="auto"/>
        <w:bottom w:val="none" w:sz="0" w:space="0" w:color="auto"/>
        <w:right w:val="none" w:sz="0" w:space="0" w:color="auto"/>
      </w:divBdr>
      <w:divsChild>
        <w:div w:id="388260383">
          <w:marLeft w:val="1699"/>
          <w:marRight w:val="0"/>
          <w:marTop w:val="60"/>
          <w:marBottom w:val="180"/>
          <w:divBdr>
            <w:top w:val="none" w:sz="0" w:space="0" w:color="auto"/>
            <w:left w:val="none" w:sz="0" w:space="0" w:color="auto"/>
            <w:bottom w:val="none" w:sz="0" w:space="0" w:color="auto"/>
            <w:right w:val="none" w:sz="0" w:space="0" w:color="auto"/>
          </w:divBdr>
        </w:div>
        <w:div w:id="392584103">
          <w:marLeft w:val="1123"/>
          <w:marRight w:val="0"/>
          <w:marTop w:val="60"/>
          <w:marBottom w:val="180"/>
          <w:divBdr>
            <w:top w:val="none" w:sz="0" w:space="0" w:color="auto"/>
            <w:left w:val="none" w:sz="0" w:space="0" w:color="auto"/>
            <w:bottom w:val="none" w:sz="0" w:space="0" w:color="auto"/>
            <w:right w:val="none" w:sz="0" w:space="0" w:color="auto"/>
          </w:divBdr>
        </w:div>
        <w:div w:id="739904996">
          <w:marLeft w:val="1123"/>
          <w:marRight w:val="0"/>
          <w:marTop w:val="60"/>
          <w:marBottom w:val="0"/>
          <w:divBdr>
            <w:top w:val="none" w:sz="0" w:space="0" w:color="auto"/>
            <w:left w:val="none" w:sz="0" w:space="0" w:color="auto"/>
            <w:bottom w:val="none" w:sz="0" w:space="0" w:color="auto"/>
            <w:right w:val="none" w:sz="0" w:space="0" w:color="auto"/>
          </w:divBdr>
        </w:div>
        <w:div w:id="1144931086">
          <w:marLeft w:val="1123"/>
          <w:marRight w:val="0"/>
          <w:marTop w:val="60"/>
          <w:marBottom w:val="180"/>
          <w:divBdr>
            <w:top w:val="none" w:sz="0" w:space="0" w:color="auto"/>
            <w:left w:val="none" w:sz="0" w:space="0" w:color="auto"/>
            <w:bottom w:val="none" w:sz="0" w:space="0" w:color="auto"/>
            <w:right w:val="none" w:sz="0" w:space="0" w:color="auto"/>
          </w:divBdr>
        </w:div>
        <w:div w:id="1294294048">
          <w:marLeft w:val="1699"/>
          <w:marRight w:val="0"/>
          <w:marTop w:val="60"/>
          <w:marBottom w:val="180"/>
          <w:divBdr>
            <w:top w:val="none" w:sz="0" w:space="0" w:color="auto"/>
            <w:left w:val="none" w:sz="0" w:space="0" w:color="auto"/>
            <w:bottom w:val="none" w:sz="0" w:space="0" w:color="auto"/>
            <w:right w:val="none" w:sz="0" w:space="0" w:color="auto"/>
          </w:divBdr>
        </w:div>
        <w:div w:id="1402406920">
          <w:marLeft w:val="1123"/>
          <w:marRight w:val="0"/>
          <w:marTop w:val="60"/>
          <w:marBottom w:val="180"/>
          <w:divBdr>
            <w:top w:val="none" w:sz="0" w:space="0" w:color="auto"/>
            <w:left w:val="none" w:sz="0" w:space="0" w:color="auto"/>
            <w:bottom w:val="none" w:sz="0" w:space="0" w:color="auto"/>
            <w:right w:val="none" w:sz="0" w:space="0" w:color="auto"/>
          </w:divBdr>
        </w:div>
        <w:div w:id="1736974929">
          <w:marLeft w:val="1123"/>
          <w:marRight w:val="0"/>
          <w:marTop w:val="60"/>
          <w:marBottom w:val="180"/>
          <w:divBdr>
            <w:top w:val="none" w:sz="0" w:space="0" w:color="auto"/>
            <w:left w:val="none" w:sz="0" w:space="0" w:color="auto"/>
            <w:bottom w:val="none" w:sz="0" w:space="0" w:color="auto"/>
            <w:right w:val="none" w:sz="0" w:space="0" w:color="auto"/>
          </w:divBdr>
        </w:div>
        <w:div w:id="2099136209">
          <w:marLeft w:val="547"/>
          <w:marRight w:val="0"/>
          <w:marTop w:val="60"/>
          <w:marBottom w:val="0"/>
          <w:divBdr>
            <w:top w:val="none" w:sz="0" w:space="0" w:color="auto"/>
            <w:left w:val="none" w:sz="0" w:space="0" w:color="auto"/>
            <w:bottom w:val="none" w:sz="0" w:space="0" w:color="auto"/>
            <w:right w:val="none" w:sz="0" w:space="0" w:color="auto"/>
          </w:divBdr>
        </w:div>
      </w:divsChild>
    </w:div>
    <w:div w:id="2013990025">
      <w:bodyDiv w:val="1"/>
      <w:marLeft w:val="0"/>
      <w:marRight w:val="0"/>
      <w:marTop w:val="0"/>
      <w:marBottom w:val="0"/>
      <w:divBdr>
        <w:top w:val="none" w:sz="0" w:space="0" w:color="auto"/>
        <w:left w:val="none" w:sz="0" w:space="0" w:color="auto"/>
        <w:bottom w:val="none" w:sz="0" w:space="0" w:color="auto"/>
        <w:right w:val="none" w:sz="0" w:space="0" w:color="auto"/>
      </w:divBdr>
      <w:divsChild>
        <w:div w:id="1141189954">
          <w:marLeft w:val="547"/>
          <w:marRight w:val="0"/>
          <w:marTop w:val="60"/>
          <w:marBottom w:val="0"/>
          <w:divBdr>
            <w:top w:val="none" w:sz="0" w:space="0" w:color="auto"/>
            <w:left w:val="none" w:sz="0" w:space="0" w:color="auto"/>
            <w:bottom w:val="none" w:sz="0" w:space="0" w:color="auto"/>
            <w:right w:val="none" w:sz="0" w:space="0" w:color="auto"/>
          </w:divBdr>
        </w:div>
        <w:div w:id="352341142">
          <w:marLeft w:val="547"/>
          <w:marRight w:val="0"/>
          <w:marTop w:val="60"/>
          <w:marBottom w:val="0"/>
          <w:divBdr>
            <w:top w:val="none" w:sz="0" w:space="0" w:color="auto"/>
            <w:left w:val="none" w:sz="0" w:space="0" w:color="auto"/>
            <w:bottom w:val="none" w:sz="0" w:space="0" w:color="auto"/>
            <w:right w:val="none" w:sz="0" w:space="0" w:color="auto"/>
          </w:divBdr>
        </w:div>
        <w:div w:id="288513986">
          <w:marLeft w:val="1123"/>
          <w:marRight w:val="0"/>
          <w:marTop w:val="60"/>
          <w:marBottom w:val="0"/>
          <w:divBdr>
            <w:top w:val="none" w:sz="0" w:space="0" w:color="auto"/>
            <w:left w:val="none" w:sz="0" w:space="0" w:color="auto"/>
            <w:bottom w:val="none" w:sz="0" w:space="0" w:color="auto"/>
            <w:right w:val="none" w:sz="0" w:space="0" w:color="auto"/>
          </w:divBdr>
        </w:div>
        <w:div w:id="283004713">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146A2-982D-4839-83C8-7C2F8C6C4E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purl.org/dc/terms/"/>
    <ds:schemaRef ds:uri="http://schemas.microsoft.com/office/2006/documentManagement/types"/>
    <ds:schemaRef ds:uri="http://purl.org/dc/elements/1.1/"/>
    <ds:schemaRef ds:uri="http://schemas.microsoft.com/office/2006/metadata/properties"/>
    <ds:schemaRef ds:uri="http://purl.org/dc/dcmitype/"/>
    <ds:schemaRef ds:uri="2f282d3b-eb4a-4b09-b61f-b9593442e286"/>
    <ds:schemaRef ds:uri="http://schemas.microsoft.com/sharepoint/v3"/>
    <ds:schemaRef ds:uri="http://schemas.microsoft.com/office/infopath/2007/PartnerControls"/>
    <ds:schemaRef ds:uri="http://schemas.openxmlformats.org/package/2006/metadata/core-properties"/>
    <ds:schemaRef ds:uri="d8762117-8292-4133-b1c7-eab5c6487cfd"/>
    <ds:schemaRef ds:uri="9b239327-9e80-40e4-b1b7-4394fed77a33"/>
    <ds:schemaRef ds:uri="http://www.w3.org/XML/1998/namespace"/>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TotalTime>
  <Pages>9</Pages>
  <Words>5134</Words>
  <Characters>26915</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31986</CharactersWithSpaces>
  <SharedDoc>false</SharedDoc>
  <HLinks>
    <vt:vector size="168" baseType="variant">
      <vt:variant>
        <vt:i4>1245241</vt:i4>
      </vt:variant>
      <vt:variant>
        <vt:i4>95</vt:i4>
      </vt:variant>
      <vt:variant>
        <vt:i4>0</vt:i4>
      </vt:variant>
      <vt:variant>
        <vt:i4>5</vt:i4>
      </vt:variant>
      <vt:variant>
        <vt:lpwstr/>
      </vt:variant>
      <vt:variant>
        <vt:lpwstr>_Toc118375731</vt:lpwstr>
      </vt:variant>
      <vt:variant>
        <vt:i4>1245241</vt:i4>
      </vt:variant>
      <vt:variant>
        <vt:i4>92</vt:i4>
      </vt:variant>
      <vt:variant>
        <vt:i4>0</vt:i4>
      </vt:variant>
      <vt:variant>
        <vt:i4>5</vt:i4>
      </vt:variant>
      <vt:variant>
        <vt:lpwstr/>
      </vt:variant>
      <vt:variant>
        <vt:lpwstr>_Toc118375730</vt:lpwstr>
      </vt:variant>
      <vt:variant>
        <vt:i4>1179705</vt:i4>
      </vt:variant>
      <vt:variant>
        <vt:i4>89</vt:i4>
      </vt:variant>
      <vt:variant>
        <vt:i4>0</vt:i4>
      </vt:variant>
      <vt:variant>
        <vt:i4>5</vt:i4>
      </vt:variant>
      <vt:variant>
        <vt:lpwstr/>
      </vt:variant>
      <vt:variant>
        <vt:lpwstr>_Toc118375729</vt:lpwstr>
      </vt:variant>
      <vt:variant>
        <vt:i4>1179705</vt:i4>
      </vt:variant>
      <vt:variant>
        <vt:i4>86</vt:i4>
      </vt:variant>
      <vt:variant>
        <vt:i4>0</vt:i4>
      </vt:variant>
      <vt:variant>
        <vt:i4>5</vt:i4>
      </vt:variant>
      <vt:variant>
        <vt:lpwstr/>
      </vt:variant>
      <vt:variant>
        <vt:lpwstr>_Toc118375727</vt:lpwstr>
      </vt:variant>
      <vt:variant>
        <vt:i4>1179705</vt:i4>
      </vt:variant>
      <vt:variant>
        <vt:i4>83</vt:i4>
      </vt:variant>
      <vt:variant>
        <vt:i4>0</vt:i4>
      </vt:variant>
      <vt:variant>
        <vt:i4>5</vt:i4>
      </vt:variant>
      <vt:variant>
        <vt:lpwstr/>
      </vt:variant>
      <vt:variant>
        <vt:lpwstr>_Toc118375726</vt:lpwstr>
      </vt:variant>
      <vt:variant>
        <vt:i4>1179705</vt:i4>
      </vt:variant>
      <vt:variant>
        <vt:i4>80</vt:i4>
      </vt:variant>
      <vt:variant>
        <vt:i4>0</vt:i4>
      </vt:variant>
      <vt:variant>
        <vt:i4>5</vt:i4>
      </vt:variant>
      <vt:variant>
        <vt:lpwstr/>
      </vt:variant>
      <vt:variant>
        <vt:lpwstr>_Toc118375725</vt:lpwstr>
      </vt:variant>
      <vt:variant>
        <vt:i4>1179705</vt:i4>
      </vt:variant>
      <vt:variant>
        <vt:i4>77</vt:i4>
      </vt:variant>
      <vt:variant>
        <vt:i4>0</vt:i4>
      </vt:variant>
      <vt:variant>
        <vt:i4>5</vt:i4>
      </vt:variant>
      <vt:variant>
        <vt:lpwstr/>
      </vt:variant>
      <vt:variant>
        <vt:lpwstr>_Toc118375724</vt:lpwstr>
      </vt:variant>
      <vt:variant>
        <vt:i4>1179705</vt:i4>
      </vt:variant>
      <vt:variant>
        <vt:i4>74</vt:i4>
      </vt:variant>
      <vt:variant>
        <vt:i4>0</vt:i4>
      </vt:variant>
      <vt:variant>
        <vt:i4>5</vt:i4>
      </vt:variant>
      <vt:variant>
        <vt:lpwstr/>
      </vt:variant>
      <vt:variant>
        <vt:lpwstr>_Toc118375723</vt:lpwstr>
      </vt:variant>
      <vt:variant>
        <vt:i4>1179705</vt:i4>
      </vt:variant>
      <vt:variant>
        <vt:i4>71</vt:i4>
      </vt:variant>
      <vt:variant>
        <vt:i4>0</vt:i4>
      </vt:variant>
      <vt:variant>
        <vt:i4>5</vt:i4>
      </vt:variant>
      <vt:variant>
        <vt:lpwstr/>
      </vt:variant>
      <vt:variant>
        <vt:lpwstr>_Toc118375722</vt:lpwstr>
      </vt:variant>
      <vt:variant>
        <vt:i4>1179705</vt:i4>
      </vt:variant>
      <vt:variant>
        <vt:i4>68</vt:i4>
      </vt:variant>
      <vt:variant>
        <vt:i4>0</vt:i4>
      </vt:variant>
      <vt:variant>
        <vt:i4>5</vt:i4>
      </vt:variant>
      <vt:variant>
        <vt:lpwstr/>
      </vt:variant>
      <vt:variant>
        <vt:lpwstr>_Toc118375721</vt:lpwstr>
      </vt:variant>
      <vt:variant>
        <vt:i4>1179705</vt:i4>
      </vt:variant>
      <vt:variant>
        <vt:i4>65</vt:i4>
      </vt:variant>
      <vt:variant>
        <vt:i4>0</vt:i4>
      </vt:variant>
      <vt:variant>
        <vt:i4>5</vt:i4>
      </vt:variant>
      <vt:variant>
        <vt:lpwstr/>
      </vt:variant>
      <vt:variant>
        <vt:lpwstr>_Toc118375720</vt:lpwstr>
      </vt:variant>
      <vt:variant>
        <vt:i4>1114169</vt:i4>
      </vt:variant>
      <vt:variant>
        <vt:i4>62</vt:i4>
      </vt:variant>
      <vt:variant>
        <vt:i4>0</vt:i4>
      </vt:variant>
      <vt:variant>
        <vt:i4>5</vt:i4>
      </vt:variant>
      <vt:variant>
        <vt:lpwstr/>
      </vt:variant>
      <vt:variant>
        <vt:lpwstr>_Toc118375719</vt:lpwstr>
      </vt:variant>
      <vt:variant>
        <vt:i4>1114169</vt:i4>
      </vt:variant>
      <vt:variant>
        <vt:i4>59</vt:i4>
      </vt:variant>
      <vt:variant>
        <vt:i4>0</vt:i4>
      </vt:variant>
      <vt:variant>
        <vt:i4>5</vt:i4>
      </vt:variant>
      <vt:variant>
        <vt:lpwstr/>
      </vt:variant>
      <vt:variant>
        <vt:lpwstr>_Toc118375718</vt:lpwstr>
      </vt:variant>
      <vt:variant>
        <vt:i4>1114169</vt:i4>
      </vt:variant>
      <vt:variant>
        <vt:i4>56</vt:i4>
      </vt:variant>
      <vt:variant>
        <vt:i4>0</vt:i4>
      </vt:variant>
      <vt:variant>
        <vt:i4>5</vt:i4>
      </vt:variant>
      <vt:variant>
        <vt:lpwstr/>
      </vt:variant>
      <vt:variant>
        <vt:lpwstr>_Toc118375717</vt:lpwstr>
      </vt:variant>
      <vt:variant>
        <vt:i4>1114169</vt:i4>
      </vt:variant>
      <vt:variant>
        <vt:i4>53</vt:i4>
      </vt:variant>
      <vt:variant>
        <vt:i4>0</vt:i4>
      </vt:variant>
      <vt:variant>
        <vt:i4>5</vt:i4>
      </vt:variant>
      <vt:variant>
        <vt:lpwstr/>
      </vt:variant>
      <vt:variant>
        <vt:lpwstr>_Toc118375716</vt:lpwstr>
      </vt:variant>
      <vt:variant>
        <vt:i4>1114169</vt:i4>
      </vt:variant>
      <vt:variant>
        <vt:i4>50</vt:i4>
      </vt:variant>
      <vt:variant>
        <vt:i4>0</vt:i4>
      </vt:variant>
      <vt:variant>
        <vt:i4>5</vt:i4>
      </vt:variant>
      <vt:variant>
        <vt:lpwstr/>
      </vt:variant>
      <vt:variant>
        <vt:lpwstr>_Toc118375715</vt:lpwstr>
      </vt:variant>
      <vt:variant>
        <vt:i4>1114169</vt:i4>
      </vt:variant>
      <vt:variant>
        <vt:i4>47</vt:i4>
      </vt:variant>
      <vt:variant>
        <vt:i4>0</vt:i4>
      </vt:variant>
      <vt:variant>
        <vt:i4>5</vt:i4>
      </vt:variant>
      <vt:variant>
        <vt:lpwstr/>
      </vt:variant>
      <vt:variant>
        <vt:lpwstr>_Toc118375714</vt:lpwstr>
      </vt:variant>
      <vt:variant>
        <vt:i4>1114169</vt:i4>
      </vt:variant>
      <vt:variant>
        <vt:i4>44</vt:i4>
      </vt:variant>
      <vt:variant>
        <vt:i4>0</vt:i4>
      </vt:variant>
      <vt:variant>
        <vt:i4>5</vt:i4>
      </vt:variant>
      <vt:variant>
        <vt:lpwstr/>
      </vt:variant>
      <vt:variant>
        <vt:lpwstr>_Toc118375713</vt:lpwstr>
      </vt:variant>
      <vt:variant>
        <vt:i4>1376311</vt:i4>
      </vt:variant>
      <vt:variant>
        <vt:i4>38</vt:i4>
      </vt:variant>
      <vt:variant>
        <vt:i4>0</vt:i4>
      </vt:variant>
      <vt:variant>
        <vt:i4>5</vt:i4>
      </vt:variant>
      <vt:variant>
        <vt:lpwstr/>
      </vt:variant>
      <vt:variant>
        <vt:lpwstr>_Toc118284650</vt:lpwstr>
      </vt:variant>
      <vt:variant>
        <vt:i4>1310775</vt:i4>
      </vt:variant>
      <vt:variant>
        <vt:i4>35</vt:i4>
      </vt:variant>
      <vt:variant>
        <vt:i4>0</vt:i4>
      </vt:variant>
      <vt:variant>
        <vt:i4>5</vt:i4>
      </vt:variant>
      <vt:variant>
        <vt:lpwstr/>
      </vt:variant>
      <vt:variant>
        <vt:lpwstr>_Toc118284649</vt:lpwstr>
      </vt:variant>
      <vt:variant>
        <vt:i4>1310775</vt:i4>
      </vt:variant>
      <vt:variant>
        <vt:i4>32</vt:i4>
      </vt:variant>
      <vt:variant>
        <vt:i4>0</vt:i4>
      </vt:variant>
      <vt:variant>
        <vt:i4>5</vt:i4>
      </vt:variant>
      <vt:variant>
        <vt:lpwstr/>
      </vt:variant>
      <vt:variant>
        <vt:lpwstr>_Toc118284648</vt:lpwstr>
      </vt:variant>
      <vt:variant>
        <vt:i4>1310775</vt:i4>
      </vt:variant>
      <vt:variant>
        <vt:i4>29</vt:i4>
      </vt:variant>
      <vt:variant>
        <vt:i4>0</vt:i4>
      </vt:variant>
      <vt:variant>
        <vt:i4>5</vt:i4>
      </vt:variant>
      <vt:variant>
        <vt:lpwstr/>
      </vt:variant>
      <vt:variant>
        <vt:lpwstr>_Toc118284647</vt:lpwstr>
      </vt:variant>
      <vt:variant>
        <vt:i4>1310775</vt:i4>
      </vt:variant>
      <vt:variant>
        <vt:i4>26</vt:i4>
      </vt:variant>
      <vt:variant>
        <vt:i4>0</vt:i4>
      </vt:variant>
      <vt:variant>
        <vt:i4>5</vt:i4>
      </vt:variant>
      <vt:variant>
        <vt:lpwstr/>
      </vt:variant>
      <vt:variant>
        <vt:lpwstr>_Toc118284646</vt:lpwstr>
      </vt:variant>
      <vt:variant>
        <vt:i4>1310775</vt:i4>
      </vt:variant>
      <vt:variant>
        <vt:i4>23</vt:i4>
      </vt:variant>
      <vt:variant>
        <vt:i4>0</vt:i4>
      </vt:variant>
      <vt:variant>
        <vt:i4>5</vt:i4>
      </vt:variant>
      <vt:variant>
        <vt:lpwstr/>
      </vt:variant>
      <vt:variant>
        <vt:lpwstr>_Toc118284645</vt:lpwstr>
      </vt:variant>
      <vt:variant>
        <vt:i4>1310775</vt:i4>
      </vt:variant>
      <vt:variant>
        <vt:i4>20</vt:i4>
      </vt:variant>
      <vt:variant>
        <vt:i4>0</vt:i4>
      </vt:variant>
      <vt:variant>
        <vt:i4>5</vt:i4>
      </vt:variant>
      <vt:variant>
        <vt:lpwstr/>
      </vt:variant>
      <vt:variant>
        <vt:lpwstr>_Toc118284644</vt:lpwstr>
      </vt:variant>
      <vt:variant>
        <vt:i4>1310775</vt:i4>
      </vt:variant>
      <vt:variant>
        <vt:i4>17</vt:i4>
      </vt:variant>
      <vt:variant>
        <vt:i4>0</vt:i4>
      </vt:variant>
      <vt:variant>
        <vt:i4>5</vt:i4>
      </vt:variant>
      <vt:variant>
        <vt:lpwstr/>
      </vt:variant>
      <vt:variant>
        <vt:lpwstr>_Toc118284643</vt:lpwstr>
      </vt:variant>
      <vt:variant>
        <vt:i4>1310775</vt:i4>
      </vt:variant>
      <vt:variant>
        <vt:i4>14</vt:i4>
      </vt:variant>
      <vt:variant>
        <vt:i4>0</vt:i4>
      </vt:variant>
      <vt:variant>
        <vt:i4>5</vt:i4>
      </vt:variant>
      <vt:variant>
        <vt:lpwstr/>
      </vt:variant>
      <vt:variant>
        <vt:lpwstr>_Toc118284642</vt:lpwstr>
      </vt:variant>
      <vt:variant>
        <vt:i4>1310775</vt:i4>
      </vt:variant>
      <vt:variant>
        <vt:i4>11</vt:i4>
      </vt:variant>
      <vt:variant>
        <vt:i4>0</vt:i4>
      </vt:variant>
      <vt:variant>
        <vt:i4>5</vt:i4>
      </vt:variant>
      <vt:variant>
        <vt:lpwstr/>
      </vt:variant>
      <vt:variant>
        <vt:lpwstr>_Toc118284641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Cecilia</cp:lastModifiedBy>
  <cp:revision>3</cp:revision>
  <cp:lastPrinted>2008-01-31T16:09:00Z</cp:lastPrinted>
  <dcterms:created xsi:type="dcterms:W3CDTF">2023-02-16T20:59:00Z</dcterms:created>
  <dcterms:modified xsi:type="dcterms:W3CDTF">2023-02-16T21:00:00Z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